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7BF" w:rsidRDefault="00C037BF" w:rsidP="00C037BF">
      <w:pPr>
        <w:pStyle w:val="Encabezado"/>
        <w:tabs>
          <w:tab w:val="left" w:pos="2520"/>
        </w:tabs>
        <w:contextualSpacing/>
        <w:jc w:val="right"/>
        <w:rPr>
          <w:rFonts w:ascii="Arial" w:hAnsi="Arial" w:cs="Arial"/>
          <w:b/>
          <w:smallCaps/>
          <w:lang w:val="es-ES_tradnl"/>
        </w:rPr>
      </w:pPr>
      <w:r>
        <w:rPr>
          <w:rFonts w:ascii="Arial" w:hAnsi="Arial" w:cs="Arial"/>
          <w:b/>
          <w:smallCaps/>
          <w:lang w:val="es-ES_tradnl"/>
        </w:rPr>
        <w:t xml:space="preserve">Ponencia de la Comisionada Ciudadana María del Carmen Nava </w:t>
      </w:r>
      <w:proofErr w:type="spellStart"/>
      <w:r>
        <w:rPr>
          <w:rFonts w:ascii="Arial" w:hAnsi="Arial" w:cs="Arial"/>
          <w:b/>
          <w:smallCaps/>
          <w:lang w:val="es-ES_tradnl"/>
        </w:rPr>
        <w:t>Polina</w:t>
      </w:r>
      <w:proofErr w:type="spellEnd"/>
      <w:r>
        <w:rPr>
          <w:rFonts w:ascii="Arial" w:hAnsi="Arial" w:cs="Arial"/>
          <w:b/>
          <w:smallCaps/>
          <w:lang w:val="es-ES_tradnl"/>
        </w:rPr>
        <w:t>.</w:t>
      </w:r>
    </w:p>
    <w:p w:rsidR="00C037BF" w:rsidRDefault="00C037BF" w:rsidP="00C037BF">
      <w:pPr>
        <w:pStyle w:val="Encabezado"/>
        <w:tabs>
          <w:tab w:val="left" w:pos="2520"/>
        </w:tabs>
        <w:contextualSpacing/>
        <w:jc w:val="right"/>
        <w:rPr>
          <w:rFonts w:ascii="Arial" w:hAnsi="Arial" w:cs="Arial"/>
          <w:b/>
          <w:smallCaps/>
          <w:lang w:val="es-ES_tradnl"/>
        </w:rPr>
      </w:pPr>
      <w:r w:rsidRPr="0087084A">
        <w:rPr>
          <w:rFonts w:ascii="Arial" w:hAnsi="Arial" w:cs="Arial"/>
          <w:b/>
          <w:smallCaps/>
          <w:lang w:val="es-ES_tradnl"/>
        </w:rPr>
        <w:t>Dirección de Estado Abierto, Estudios y Evaluación</w:t>
      </w:r>
      <w:r>
        <w:rPr>
          <w:rFonts w:ascii="Arial" w:hAnsi="Arial" w:cs="Arial"/>
          <w:b/>
          <w:smallCaps/>
          <w:lang w:val="es-ES_tradnl"/>
        </w:rPr>
        <w:t>.</w:t>
      </w:r>
    </w:p>
    <w:p w:rsidR="00C037BF" w:rsidRPr="0087084A" w:rsidRDefault="00C037BF" w:rsidP="00C037BF">
      <w:pPr>
        <w:spacing w:line="240" w:lineRule="auto"/>
        <w:contextualSpacing/>
        <w:jc w:val="right"/>
        <w:rPr>
          <w:rFonts w:ascii="Arial" w:hAnsi="Arial" w:cs="Arial"/>
          <w:lang w:val="es-ES_tradnl"/>
        </w:rPr>
      </w:pPr>
    </w:p>
    <w:p w:rsidR="00C037BF" w:rsidRPr="0087084A" w:rsidRDefault="00C037BF" w:rsidP="00C037BF">
      <w:pPr>
        <w:spacing w:line="240" w:lineRule="auto"/>
        <w:contextualSpacing/>
        <w:jc w:val="right"/>
        <w:rPr>
          <w:rFonts w:ascii="Arial" w:hAnsi="Arial" w:cs="Arial"/>
          <w:lang w:val="es-ES_tradnl"/>
        </w:rPr>
      </w:pPr>
      <w:r w:rsidRPr="0087084A">
        <w:rPr>
          <w:rFonts w:ascii="Arial" w:hAnsi="Arial" w:cs="Arial"/>
          <w:lang w:val="es-ES_tradnl"/>
        </w:rPr>
        <w:t xml:space="preserve">Ciudad de México, </w:t>
      </w:r>
      <w:r>
        <w:rPr>
          <w:rFonts w:ascii="Arial" w:hAnsi="Arial" w:cs="Arial"/>
          <w:lang w:val="es-ES_tradnl"/>
        </w:rPr>
        <w:t>07 de agosto</w:t>
      </w:r>
      <w:r w:rsidRPr="0087084A">
        <w:rPr>
          <w:rFonts w:ascii="Arial" w:hAnsi="Arial" w:cs="Arial"/>
          <w:lang w:val="es-ES_tradnl"/>
        </w:rPr>
        <w:t xml:space="preserve"> de 2019</w:t>
      </w:r>
      <w:r>
        <w:rPr>
          <w:rFonts w:ascii="Arial" w:hAnsi="Arial" w:cs="Arial"/>
          <w:lang w:val="es-ES_tradnl"/>
        </w:rPr>
        <w:t>.</w:t>
      </w:r>
    </w:p>
    <w:p w:rsidR="00C037BF" w:rsidRPr="0087084A" w:rsidRDefault="00C037BF" w:rsidP="00C037BF">
      <w:pPr>
        <w:spacing w:line="240" w:lineRule="auto"/>
        <w:contextualSpacing/>
        <w:jc w:val="right"/>
        <w:rPr>
          <w:rFonts w:ascii="Arial" w:hAnsi="Arial" w:cs="Arial"/>
          <w:lang w:val="es-ES_tradnl"/>
        </w:rPr>
      </w:pPr>
    </w:p>
    <w:p w:rsidR="00F92FED" w:rsidRDefault="00C037BF" w:rsidP="00F92FED">
      <w:pPr>
        <w:tabs>
          <w:tab w:val="left" w:pos="1122"/>
        </w:tabs>
        <w:spacing w:line="240" w:lineRule="auto"/>
        <w:contextualSpacing/>
        <w:jc w:val="right"/>
        <w:rPr>
          <w:rFonts w:ascii="Arial" w:hAnsi="Arial" w:cs="Arial"/>
          <w:smallCaps/>
          <w:lang w:val="es-ES_tradnl"/>
        </w:rPr>
      </w:pPr>
      <w:r w:rsidRPr="0087084A">
        <w:rPr>
          <w:rFonts w:ascii="Arial" w:hAnsi="Arial" w:cs="Arial"/>
          <w:smallCaps/>
          <w:lang w:val="es-ES_tradnl"/>
        </w:rPr>
        <w:t xml:space="preserve">Asunto: </w:t>
      </w:r>
      <w:r w:rsidR="00F92FED" w:rsidRPr="00F92FED">
        <w:rPr>
          <w:rFonts w:ascii="Arial" w:hAnsi="Arial" w:cs="Arial"/>
          <w:smallCaps/>
          <w:lang w:val="es-ES_tradnl"/>
        </w:rPr>
        <w:t xml:space="preserve">Preguntas y respuestas de la Primera Evaluación </w:t>
      </w:r>
    </w:p>
    <w:p w:rsidR="00C037BF" w:rsidRPr="00F92FED" w:rsidRDefault="00F92FED" w:rsidP="00F92FED">
      <w:pPr>
        <w:tabs>
          <w:tab w:val="left" w:pos="1122"/>
        </w:tabs>
        <w:spacing w:line="240" w:lineRule="auto"/>
        <w:contextualSpacing/>
        <w:jc w:val="right"/>
        <w:rPr>
          <w:rFonts w:ascii="Arial" w:hAnsi="Arial" w:cs="Arial"/>
          <w:smallCaps/>
          <w:lang w:val="es-ES_tradnl"/>
        </w:rPr>
      </w:pPr>
      <w:r w:rsidRPr="00F92FED">
        <w:rPr>
          <w:rFonts w:ascii="Arial" w:hAnsi="Arial" w:cs="Arial"/>
          <w:smallCaps/>
          <w:lang w:val="es-ES_tradnl"/>
        </w:rPr>
        <w:t>Vinculante 2019, respecto del ejercicio 2018</w:t>
      </w:r>
    </w:p>
    <w:p w:rsidR="00061C2A" w:rsidRDefault="00061C2A" w:rsidP="00061C2A">
      <w:pPr>
        <w:spacing w:line="240" w:lineRule="auto"/>
        <w:contextualSpacing/>
        <w:jc w:val="both"/>
        <w:rPr>
          <w:rFonts w:ascii="Arial" w:hAnsi="Arial" w:cs="Arial"/>
        </w:rPr>
      </w:pPr>
    </w:p>
    <w:p w:rsidR="00061C2A" w:rsidRDefault="00061C2A" w:rsidP="00061C2A">
      <w:pPr>
        <w:spacing w:line="240" w:lineRule="auto"/>
        <w:contextualSpacing/>
        <w:jc w:val="both"/>
        <w:rPr>
          <w:rFonts w:ascii="Arial" w:hAnsi="Arial" w:cs="Arial"/>
        </w:rPr>
      </w:pP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shd w:val="clear" w:color="auto" w:fill="FFFFFF"/>
        </w:rPr>
        <w:t>1.  ¿Cuál fue la última evaluación realizada, respecto de qué ejercicio fue y a cuántos sujetos obligados se evaluó?</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R.-La Primera Evaluación Vinculante 2018, en la que se verificó que la información estuviera publicada y actualizada al tercer trimestre de 2017. Esa verific</w:t>
      </w:r>
      <w:r w:rsidR="00F251E5">
        <w:rPr>
          <w:rFonts w:ascii="Arial Narrow" w:hAnsi="Arial Narrow" w:cs="Segoe UI"/>
          <w:color w:val="201F1E"/>
          <w:sz w:val="24"/>
          <w:shd w:val="clear" w:color="auto" w:fill="FFFFFF"/>
        </w:rPr>
        <w:t>ación se realizó a 74 de los 146</w:t>
      </w:r>
      <w:bookmarkStart w:id="0" w:name="_GoBack"/>
      <w:bookmarkEnd w:id="0"/>
      <w:r w:rsidRPr="00C037BF">
        <w:rPr>
          <w:rFonts w:ascii="Arial Narrow" w:hAnsi="Arial Narrow" w:cs="Segoe UI"/>
          <w:color w:val="201F1E"/>
          <w:sz w:val="24"/>
          <w:shd w:val="clear" w:color="auto" w:fill="FFFFFF"/>
        </w:rPr>
        <w:t xml:space="preserve"> sujetos obligados que incluía el Padrón correspondiente al año 2017.</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2.  ¿Por qué se está realizando una evaluación del ejercicio 2018, si estamos ya a principios del segundo semestre del año 2019?</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R.-Debido a que el Instituto no tuvo Pleno del 1 de abril al 18 de diciembre de 2018; no se realizó evaluación alguna respecto del ejercicio 2018; por tal razón era importante evaluar la información publicada por lo Sujetos Obligados en tal periodo.</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Esta estrategia permitió subsanar lagunas de información sobre ejercicios previos y permite analizar el estado del cumplimiento d</w:t>
      </w:r>
      <w:r>
        <w:rPr>
          <w:rFonts w:ascii="Arial Narrow" w:hAnsi="Arial Narrow" w:cs="Segoe UI"/>
          <w:color w:val="201F1E"/>
          <w:sz w:val="24"/>
          <w:shd w:val="clear" w:color="auto" w:fill="FFFFFF"/>
        </w:rPr>
        <w:t>e las obligaciones por ámbito</w:t>
      </w:r>
      <w:r w:rsidRPr="00C037BF">
        <w:rPr>
          <w:rFonts w:ascii="Arial Narrow" w:hAnsi="Arial Narrow" w:cs="Segoe UI"/>
          <w:color w:val="201F1E"/>
          <w:sz w:val="24"/>
          <w:shd w:val="clear" w:color="auto" w:fill="FFFFFF"/>
        </w:rPr>
        <w:t>, sector, subsector y por sujeto obligado, así como facilitará valorar de manera comparada el nivel de cumplimiento de un mismo rubro de obligaciones entre distintos sectores. Asimismo, debido a que fue censal, la evaluación de 146 sujetos obligado amerito más tiempo.</w:t>
      </w:r>
      <w:r w:rsidRPr="00C037BF">
        <w:rPr>
          <w:rFonts w:ascii="Arial Narrow" w:hAnsi="Arial Narrow" w:cs="Segoe UI"/>
          <w:color w:val="201F1E"/>
          <w:sz w:val="24"/>
        </w:rPr>
        <w:br/>
      </w: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3.  ¿Por qué en la evaluación se hace referencia a sujetos obligados que ya se extinguieron o cambiaron de denominación?</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R.- En la lógica de que se evaluó el ejercicio 2018, es que los resultados de esta verificación hacen referencia en número como en denominación a los 146 sujetos obligados contemplados en el Padrón hasta el 31 de diciembre de 2018.</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4.  ¿Cuánto tiempo tienen los sujetos obligados para atender las recomendaciones?</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lastRenderedPageBreak/>
        <w:br/>
      </w:r>
      <w:r w:rsidRPr="00C037BF">
        <w:rPr>
          <w:rFonts w:ascii="Arial Narrow" w:hAnsi="Arial Narrow" w:cs="Segoe UI"/>
          <w:color w:val="201F1E"/>
          <w:sz w:val="24"/>
          <w:shd w:val="clear" w:color="auto" w:fill="FFFFFF"/>
        </w:rPr>
        <w:t xml:space="preserve">R.- </w:t>
      </w:r>
      <w:r>
        <w:rPr>
          <w:rFonts w:ascii="Arial Narrow" w:hAnsi="Arial Narrow" w:cs="Segoe UI"/>
          <w:color w:val="201F1E"/>
          <w:sz w:val="24"/>
          <w:shd w:val="clear" w:color="auto" w:fill="FFFFFF"/>
        </w:rPr>
        <w:t xml:space="preserve">15 </w:t>
      </w:r>
      <w:r w:rsidRPr="00C037BF">
        <w:rPr>
          <w:rFonts w:ascii="Arial Narrow" w:hAnsi="Arial Narrow" w:cs="Segoe UI"/>
          <w:color w:val="201F1E"/>
          <w:sz w:val="24"/>
          <w:shd w:val="clear" w:color="auto" w:fill="FFFFFF"/>
        </w:rPr>
        <w:t>días hábiles contados a partir de la notificación electrónica del Acuerdo al Titular del Sujeto Obligado.</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5.  ¿Pueden los sujetos obligados impugnar la evaluación?</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 xml:space="preserve">R.- En el plazo de </w:t>
      </w:r>
      <w:r>
        <w:rPr>
          <w:rFonts w:ascii="Arial Narrow" w:hAnsi="Arial Narrow" w:cs="Segoe UI"/>
          <w:color w:val="201F1E"/>
          <w:sz w:val="24"/>
          <w:shd w:val="clear" w:color="auto" w:fill="FFFFFF"/>
        </w:rPr>
        <w:t>15</w:t>
      </w:r>
      <w:r w:rsidRPr="00C037BF">
        <w:rPr>
          <w:rFonts w:ascii="Arial Narrow" w:hAnsi="Arial Narrow" w:cs="Segoe UI"/>
          <w:color w:val="201F1E"/>
          <w:sz w:val="24"/>
          <w:shd w:val="clear" w:color="auto" w:fill="FFFFFF"/>
        </w:rPr>
        <w:t xml:space="preserve"> días los sujetos obligados además de solventar las recomendaciones, podrán señalar lo que en su derecho convenga.</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6.  Una vez transcurrido el tiempo dado a los sujetos obligados para subsanar las recomendaciones, ¿el instituto realizará una nueva evaluación para verificar el cumplimiento?</w:t>
      </w:r>
      <w:r w:rsidRPr="00C037BF">
        <w:rPr>
          <w:rFonts w:ascii="Arial Narrow" w:hAnsi="Arial Narrow" w:cs="Segoe UI"/>
          <w:color w:val="201F1E"/>
          <w:sz w:val="24"/>
        </w:rPr>
        <w:br/>
      </w: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 xml:space="preserve">R.- Terminado el plazo de </w:t>
      </w:r>
      <w:r>
        <w:rPr>
          <w:rFonts w:ascii="Arial Narrow" w:hAnsi="Arial Narrow" w:cs="Segoe UI"/>
          <w:color w:val="201F1E"/>
          <w:sz w:val="24"/>
          <w:shd w:val="clear" w:color="auto" w:fill="FFFFFF"/>
        </w:rPr>
        <w:t>15</w:t>
      </w:r>
      <w:r w:rsidRPr="00C037BF">
        <w:rPr>
          <w:rFonts w:ascii="Arial Narrow" w:hAnsi="Arial Narrow" w:cs="Segoe UI"/>
          <w:color w:val="201F1E"/>
          <w:sz w:val="24"/>
          <w:shd w:val="clear" w:color="auto" w:fill="FFFFFF"/>
        </w:rPr>
        <w:t xml:space="preserve"> días hábiles, la DEAEE comenzará la evaluación de cumplimiento respecto de las recomendaciones realizadas a los sujetos obligados en la Primera Evaluación Vinculante 2019.</w:t>
      </w:r>
    </w:p>
    <w:p w:rsidR="00C037BF" w:rsidRPr="00C037BF" w:rsidRDefault="00C037BF" w:rsidP="00C037BF">
      <w:pPr>
        <w:jc w:val="both"/>
        <w:rPr>
          <w:rFonts w:ascii="Arial Narrow" w:hAnsi="Arial Narrow" w:cs="Segoe UI"/>
          <w:color w:val="201F1E"/>
          <w:sz w:val="24"/>
          <w:shd w:val="clear" w:color="auto" w:fill="FFFFFF"/>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7.  ¿Qué consecuencias tiene que un sujeto obligado incumpla las recomendaciones realizadas por el Instituto?</w:t>
      </w:r>
    </w:p>
    <w:p w:rsidR="00C037BF" w:rsidRPr="00C037BF" w:rsidRDefault="00C037BF" w:rsidP="00C037BF">
      <w:pPr>
        <w:jc w:val="both"/>
        <w:rPr>
          <w:rFonts w:ascii="Arial Narrow" w:hAnsi="Arial Narrow"/>
          <w:b/>
          <w:sz w:val="24"/>
          <w:lang w:val="es-MX"/>
        </w:rPr>
      </w:pPr>
      <w:r w:rsidRPr="00C037BF">
        <w:rPr>
          <w:rFonts w:ascii="Arial Narrow" w:hAnsi="Arial Narrow" w:cs="Segoe UI"/>
          <w:color w:val="201F1E"/>
          <w:sz w:val="24"/>
        </w:rPr>
        <w:br/>
      </w:r>
      <w:r w:rsidRPr="00C037BF">
        <w:rPr>
          <w:rFonts w:ascii="Arial Narrow" w:hAnsi="Arial Narrow" w:cs="Segoe UI"/>
          <w:color w:val="201F1E"/>
          <w:sz w:val="24"/>
          <w:shd w:val="clear" w:color="auto" w:fill="FFFFFF"/>
        </w:rPr>
        <w:t>R.-Se le notificará al Titular del Sujeto Obligado el incumplimiento y de le dará un plazo de cinco días hábiles para cumplir. Si persiste el incumplimiento, el Pleno del Instituto notificará al Órgano Interno de Control del Sujeto Obligado para que imponga las medidas de apremio y sanción correspondientes.</w:t>
      </w:r>
    </w:p>
    <w:p w:rsidR="0088353E" w:rsidRPr="008B1094" w:rsidRDefault="0088353E" w:rsidP="00C037BF">
      <w:pPr>
        <w:tabs>
          <w:tab w:val="left" w:pos="1122"/>
        </w:tabs>
        <w:spacing w:line="240" w:lineRule="auto"/>
        <w:contextualSpacing/>
        <w:rPr>
          <w:rFonts w:ascii="Arial Narrow" w:hAnsi="Arial Narrow"/>
          <w:lang w:val="es-MX"/>
        </w:rPr>
      </w:pPr>
    </w:p>
    <w:sectPr w:rsidR="0088353E" w:rsidRPr="008B1094" w:rsidSect="007B6D42">
      <w:headerReference w:type="default" r:id="rId8"/>
      <w:foot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956" w:rsidRDefault="005B0956" w:rsidP="00AC3ECE">
      <w:pPr>
        <w:spacing w:after="0" w:line="240" w:lineRule="auto"/>
      </w:pPr>
      <w:r>
        <w:separator/>
      </w:r>
    </w:p>
  </w:endnote>
  <w:endnote w:type="continuationSeparator" w:id="0">
    <w:p w:rsidR="005B0956" w:rsidRDefault="005B0956" w:rsidP="00AC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88" w:rsidRDefault="00025088">
    <w:pPr>
      <w:pStyle w:val="Piedepgina"/>
      <w:jc w:val="center"/>
      <w:rPr>
        <w:caps/>
        <w:color w:val="5B9BD5" w:themeColor="accent1"/>
      </w:rPr>
    </w:pPr>
    <w:r>
      <w:rPr>
        <w:noProof/>
        <w:lang w:val="es-MX" w:eastAsia="es-MX"/>
      </w:rPr>
      <w:drawing>
        <wp:anchor distT="0" distB="0" distL="114300" distR="114300" simplePos="0" relativeHeight="251664384" behindDoc="0" locked="0" layoutInCell="1" allowOverlap="1" wp14:anchorId="50C4FD92" wp14:editId="3040A0E2">
          <wp:simplePos x="0" y="0"/>
          <wp:positionH relativeFrom="column">
            <wp:posOffset>-1076325</wp:posOffset>
          </wp:positionH>
          <wp:positionV relativeFrom="paragraph">
            <wp:posOffset>104775</wp:posOffset>
          </wp:positionV>
          <wp:extent cx="7673975" cy="401955"/>
          <wp:effectExtent l="0" t="0" r="0" b="0"/>
          <wp:wrapTight wrapText="bothSides">
            <wp:wrapPolygon edited="0">
              <wp:start x="4611" y="0"/>
              <wp:lineTo x="429" y="9213"/>
              <wp:lineTo x="429" y="14332"/>
              <wp:lineTo x="4343" y="18427"/>
              <wp:lineTo x="4343" y="20474"/>
              <wp:lineTo x="20965" y="20474"/>
              <wp:lineTo x="21019" y="18427"/>
              <wp:lineTo x="21073" y="0"/>
              <wp:lineTo x="4611"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19643" b="23839"/>
                  <a:stretch>
                    <a:fillRect/>
                  </a:stretch>
                </pic:blipFill>
                <pic:spPr bwMode="auto">
                  <a:xfrm>
                    <a:off x="0" y="0"/>
                    <a:ext cx="7673975" cy="401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088" w:rsidRDefault="00025088">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251E5">
      <w:rPr>
        <w:caps/>
        <w:noProof/>
        <w:color w:val="5B9BD5" w:themeColor="accent1"/>
      </w:rPr>
      <w:t>2</w:t>
    </w:r>
    <w:r>
      <w:rPr>
        <w:caps/>
        <w:color w:val="5B9BD5" w:themeColor="accent1"/>
      </w:rPr>
      <w:fldChar w:fldCharType="end"/>
    </w:r>
  </w:p>
  <w:p w:rsidR="00025088" w:rsidRDefault="00025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956" w:rsidRDefault="005B0956" w:rsidP="00AC3ECE">
      <w:pPr>
        <w:spacing w:after="0" w:line="240" w:lineRule="auto"/>
      </w:pPr>
      <w:r>
        <w:separator/>
      </w:r>
    </w:p>
  </w:footnote>
  <w:footnote w:type="continuationSeparator" w:id="0">
    <w:p w:rsidR="005B0956" w:rsidRDefault="005B0956" w:rsidP="00AC3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88" w:rsidRPr="001309DA" w:rsidRDefault="00025088" w:rsidP="00025088">
    <w:pPr>
      <w:tabs>
        <w:tab w:val="center" w:pos="4420"/>
      </w:tabs>
      <w:ind w:left="1134" w:right="-518"/>
      <w:jc w:val="right"/>
      <w:rPr>
        <w:rFonts w:ascii="Arial Black" w:hAnsi="Arial Black" w:cs="Arial"/>
        <w:color w:val="4597A1"/>
        <w:sz w:val="18"/>
        <w:szCs w:val="19"/>
        <w:lang w:val="es-MX"/>
      </w:rPr>
    </w:pPr>
    <w:r>
      <w:rPr>
        <w:noProof/>
        <w:sz w:val="18"/>
        <w:szCs w:val="19"/>
        <w:lang w:val="es-MX" w:eastAsia="es-MX"/>
      </w:rPr>
      <w:drawing>
        <wp:anchor distT="0" distB="0" distL="114300" distR="114300" simplePos="0" relativeHeight="251662336" behindDoc="0" locked="0" layoutInCell="1" allowOverlap="1" wp14:anchorId="6EFDC86E" wp14:editId="18FF1781">
          <wp:simplePos x="0" y="0"/>
          <wp:positionH relativeFrom="column">
            <wp:posOffset>-601980</wp:posOffset>
          </wp:positionH>
          <wp:positionV relativeFrom="paragraph">
            <wp:posOffset>-111760</wp:posOffset>
          </wp:positionV>
          <wp:extent cx="1062355" cy="50355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r="18030"/>
                  <a:stretch>
                    <a:fillRect/>
                  </a:stretch>
                </pic:blipFill>
                <pic:spPr bwMode="auto">
                  <a:xfrm>
                    <a:off x="0" y="0"/>
                    <a:ext cx="10623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9DA">
      <w:rPr>
        <w:rFonts w:ascii="Arial Black" w:hAnsi="Arial Black" w:cs="Arial"/>
        <w:color w:val="4597A1"/>
        <w:sz w:val="18"/>
        <w:szCs w:val="19"/>
        <w:lang w:val="es-MX"/>
      </w:rPr>
      <w:t>Instituto de Transparencia, Acceso a la Información Pública,</w:t>
    </w:r>
  </w:p>
  <w:p w:rsidR="00AC3ECE" w:rsidRPr="00025088" w:rsidRDefault="00025088" w:rsidP="00025088">
    <w:pPr>
      <w:tabs>
        <w:tab w:val="center" w:pos="4420"/>
      </w:tabs>
      <w:ind w:left="1134" w:right="-518"/>
      <w:jc w:val="right"/>
      <w:rPr>
        <w:rFonts w:ascii="Arial Black" w:hAnsi="Arial Black" w:cs="Arial"/>
        <w:color w:val="4597A1"/>
        <w:sz w:val="18"/>
        <w:szCs w:val="19"/>
        <w:lang w:val="es-MX"/>
      </w:rPr>
    </w:pPr>
    <w:r w:rsidRPr="001309DA">
      <w:rPr>
        <w:rFonts w:ascii="Arial Black" w:hAnsi="Arial Black" w:cs="Arial"/>
        <w:color w:val="4597A1"/>
        <w:sz w:val="18"/>
        <w:szCs w:val="19"/>
        <w:lang w:val="es-MX"/>
      </w:rPr>
      <w:t>Protección de Datos Personales y Rendición de Cuentas de la Ciudad de México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639"/>
    <w:multiLevelType w:val="hybridMultilevel"/>
    <w:tmpl w:val="B8089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33BDB"/>
    <w:multiLevelType w:val="hybridMultilevel"/>
    <w:tmpl w:val="EB5A7F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7E43014"/>
    <w:multiLevelType w:val="hybridMultilevel"/>
    <w:tmpl w:val="58A40D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E0C9B"/>
    <w:multiLevelType w:val="hybridMultilevel"/>
    <w:tmpl w:val="86B44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46BE8"/>
    <w:multiLevelType w:val="hybridMultilevel"/>
    <w:tmpl w:val="C1B00B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F157E36"/>
    <w:multiLevelType w:val="hybridMultilevel"/>
    <w:tmpl w:val="A642A1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8F013B"/>
    <w:multiLevelType w:val="hybridMultilevel"/>
    <w:tmpl w:val="BFE8C9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390430"/>
    <w:multiLevelType w:val="hybridMultilevel"/>
    <w:tmpl w:val="A64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D93FA4"/>
    <w:multiLevelType w:val="hybridMultilevel"/>
    <w:tmpl w:val="A64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4"/>
  </w:num>
  <w:num w:numId="5">
    <w:abstractNumId w:val="1"/>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BF"/>
    <w:rsid w:val="00025088"/>
    <w:rsid w:val="00025C2D"/>
    <w:rsid w:val="00026A27"/>
    <w:rsid w:val="00061C2A"/>
    <w:rsid w:val="000621E0"/>
    <w:rsid w:val="000641DF"/>
    <w:rsid w:val="00082930"/>
    <w:rsid w:val="000C35C9"/>
    <w:rsid w:val="000F4BC7"/>
    <w:rsid w:val="00104FFF"/>
    <w:rsid w:val="00110A86"/>
    <w:rsid w:val="00122F46"/>
    <w:rsid w:val="00175272"/>
    <w:rsid w:val="00182E5C"/>
    <w:rsid w:val="0018597E"/>
    <w:rsid w:val="001E42CD"/>
    <w:rsid w:val="00232384"/>
    <w:rsid w:val="00235766"/>
    <w:rsid w:val="002828B3"/>
    <w:rsid w:val="00346DE3"/>
    <w:rsid w:val="00360AA1"/>
    <w:rsid w:val="003A1B51"/>
    <w:rsid w:val="003E5C30"/>
    <w:rsid w:val="00411519"/>
    <w:rsid w:val="00422E4D"/>
    <w:rsid w:val="00472473"/>
    <w:rsid w:val="004F4010"/>
    <w:rsid w:val="005746BC"/>
    <w:rsid w:val="005B0956"/>
    <w:rsid w:val="005C0106"/>
    <w:rsid w:val="005E637D"/>
    <w:rsid w:val="00660767"/>
    <w:rsid w:val="00663723"/>
    <w:rsid w:val="007061FD"/>
    <w:rsid w:val="00777909"/>
    <w:rsid w:val="007B2BE0"/>
    <w:rsid w:val="007B6D42"/>
    <w:rsid w:val="007E1C86"/>
    <w:rsid w:val="007E6C3B"/>
    <w:rsid w:val="007E7839"/>
    <w:rsid w:val="0082603B"/>
    <w:rsid w:val="00880209"/>
    <w:rsid w:val="0088353E"/>
    <w:rsid w:val="008A4A18"/>
    <w:rsid w:val="008A6389"/>
    <w:rsid w:val="008B1094"/>
    <w:rsid w:val="0091720F"/>
    <w:rsid w:val="00971573"/>
    <w:rsid w:val="009B4CA3"/>
    <w:rsid w:val="00A76166"/>
    <w:rsid w:val="00AC3ECE"/>
    <w:rsid w:val="00B01B77"/>
    <w:rsid w:val="00C037BF"/>
    <w:rsid w:val="00C502BD"/>
    <w:rsid w:val="00CA3926"/>
    <w:rsid w:val="00CB0B38"/>
    <w:rsid w:val="00CD628B"/>
    <w:rsid w:val="00D93DCC"/>
    <w:rsid w:val="00D976FF"/>
    <w:rsid w:val="00DA22DC"/>
    <w:rsid w:val="00E1243D"/>
    <w:rsid w:val="00E32E19"/>
    <w:rsid w:val="00E631C7"/>
    <w:rsid w:val="00E65BE7"/>
    <w:rsid w:val="00E933F5"/>
    <w:rsid w:val="00EB34EC"/>
    <w:rsid w:val="00F251E5"/>
    <w:rsid w:val="00F30758"/>
    <w:rsid w:val="00F32569"/>
    <w:rsid w:val="00F92FED"/>
    <w:rsid w:val="00FE4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B5E04C-8953-4CB7-A67A-E2F1291D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6A27"/>
    <w:rPr>
      <w:color w:val="0563C1" w:themeColor="hyperlink"/>
      <w:u w:val="single"/>
    </w:rPr>
  </w:style>
  <w:style w:type="paragraph" w:styleId="Encabezado">
    <w:name w:val="header"/>
    <w:basedOn w:val="Normal"/>
    <w:link w:val="EncabezadoCar"/>
    <w:unhideWhenUsed/>
    <w:rsid w:val="00E1243D"/>
    <w:pPr>
      <w:tabs>
        <w:tab w:val="center" w:pos="4419"/>
        <w:tab w:val="right" w:pos="8838"/>
      </w:tabs>
      <w:spacing w:after="0" w:line="240" w:lineRule="auto"/>
    </w:pPr>
  </w:style>
  <w:style w:type="character" w:customStyle="1" w:styleId="EncabezadoCar">
    <w:name w:val="Encabezado Car"/>
    <w:basedOn w:val="Fuentedeprrafopredeter"/>
    <w:link w:val="Encabezado"/>
    <w:rsid w:val="00E1243D"/>
  </w:style>
  <w:style w:type="paragraph" w:styleId="Piedepgina">
    <w:name w:val="footer"/>
    <w:basedOn w:val="Normal"/>
    <w:link w:val="PiedepginaCar"/>
    <w:uiPriority w:val="99"/>
    <w:unhideWhenUsed/>
    <w:rsid w:val="00E124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43D"/>
  </w:style>
  <w:style w:type="paragraph" w:styleId="Textodeglobo">
    <w:name w:val="Balloon Text"/>
    <w:basedOn w:val="Normal"/>
    <w:link w:val="TextodegloboCar"/>
    <w:uiPriority w:val="99"/>
    <w:semiHidden/>
    <w:unhideWhenUsed/>
    <w:rsid w:val="007B6D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6D42"/>
    <w:rPr>
      <w:rFonts w:ascii="Segoe UI" w:hAnsi="Segoe UI" w:cs="Segoe UI"/>
      <w:sz w:val="18"/>
      <w:szCs w:val="18"/>
    </w:rPr>
  </w:style>
  <w:style w:type="paragraph" w:styleId="Prrafodelista">
    <w:name w:val="List Paragraph"/>
    <w:basedOn w:val="Normal"/>
    <w:uiPriority w:val="34"/>
    <w:qFormat/>
    <w:rsid w:val="00E933F5"/>
    <w:pPr>
      <w:ind w:left="720"/>
      <w:contextualSpacing/>
    </w:pPr>
  </w:style>
  <w:style w:type="paragraph" w:customStyle="1" w:styleId="Default">
    <w:name w:val="Default"/>
    <w:rsid w:val="00A76166"/>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87212">
      <w:bodyDiv w:val="1"/>
      <w:marLeft w:val="0"/>
      <w:marRight w:val="0"/>
      <w:marTop w:val="0"/>
      <w:marBottom w:val="0"/>
      <w:divBdr>
        <w:top w:val="none" w:sz="0" w:space="0" w:color="auto"/>
        <w:left w:val="none" w:sz="0" w:space="0" w:color="auto"/>
        <w:bottom w:val="none" w:sz="0" w:space="0" w:color="auto"/>
        <w:right w:val="none" w:sz="0" w:space="0" w:color="auto"/>
      </w:divBdr>
    </w:div>
    <w:div w:id="913468647">
      <w:bodyDiv w:val="1"/>
      <w:marLeft w:val="0"/>
      <w:marRight w:val="0"/>
      <w:marTop w:val="0"/>
      <w:marBottom w:val="0"/>
      <w:divBdr>
        <w:top w:val="none" w:sz="0" w:space="0" w:color="auto"/>
        <w:left w:val="none" w:sz="0" w:space="0" w:color="auto"/>
        <w:bottom w:val="none" w:sz="0" w:space="0" w:color="auto"/>
        <w:right w:val="none" w:sz="0" w:space="0" w:color="auto"/>
      </w:divBdr>
      <w:divsChild>
        <w:div w:id="1608541415">
          <w:marLeft w:val="0"/>
          <w:marRight w:val="0"/>
          <w:marTop w:val="0"/>
          <w:marBottom w:val="0"/>
          <w:divBdr>
            <w:top w:val="none" w:sz="0" w:space="0" w:color="auto"/>
            <w:left w:val="none" w:sz="0" w:space="0" w:color="auto"/>
            <w:bottom w:val="none" w:sz="0" w:space="0" w:color="auto"/>
            <w:right w:val="none" w:sz="0" w:space="0" w:color="auto"/>
          </w:divBdr>
          <w:divsChild>
            <w:div w:id="1997950177">
              <w:marLeft w:val="-225"/>
              <w:marRight w:val="1894"/>
              <w:marTop w:val="0"/>
              <w:marBottom w:val="0"/>
              <w:divBdr>
                <w:top w:val="none" w:sz="0" w:space="0" w:color="auto"/>
                <w:left w:val="none" w:sz="0" w:space="0" w:color="auto"/>
                <w:bottom w:val="none" w:sz="0" w:space="0" w:color="auto"/>
                <w:right w:val="none" w:sz="0" w:space="0" w:color="auto"/>
              </w:divBdr>
              <w:divsChild>
                <w:div w:id="346100180">
                  <w:marLeft w:val="0"/>
                  <w:marRight w:val="0"/>
                  <w:marTop w:val="0"/>
                  <w:marBottom w:val="0"/>
                  <w:divBdr>
                    <w:top w:val="none" w:sz="0" w:space="0" w:color="auto"/>
                    <w:left w:val="none" w:sz="0" w:space="0" w:color="auto"/>
                    <w:bottom w:val="none" w:sz="0" w:space="0" w:color="auto"/>
                    <w:right w:val="none" w:sz="0" w:space="0" w:color="auto"/>
                  </w:divBdr>
                  <w:divsChild>
                    <w:div w:id="531110247">
                      <w:marLeft w:val="0"/>
                      <w:marRight w:val="0"/>
                      <w:marTop w:val="0"/>
                      <w:marBottom w:val="0"/>
                      <w:divBdr>
                        <w:top w:val="none" w:sz="0" w:space="0" w:color="auto"/>
                        <w:left w:val="none" w:sz="0" w:space="0" w:color="auto"/>
                        <w:bottom w:val="none" w:sz="0" w:space="0" w:color="auto"/>
                        <w:right w:val="none" w:sz="0" w:space="0" w:color="auto"/>
                      </w:divBdr>
                      <w:divsChild>
                        <w:div w:id="322587667">
                          <w:marLeft w:val="0"/>
                          <w:marRight w:val="0"/>
                          <w:marTop w:val="0"/>
                          <w:marBottom w:val="0"/>
                          <w:divBdr>
                            <w:top w:val="none" w:sz="0" w:space="0" w:color="auto"/>
                            <w:left w:val="none" w:sz="0" w:space="0" w:color="auto"/>
                            <w:bottom w:val="none" w:sz="0" w:space="0" w:color="auto"/>
                            <w:right w:val="none" w:sz="0" w:space="0" w:color="auto"/>
                          </w:divBdr>
                          <w:divsChild>
                            <w:div w:id="1541166854">
                              <w:marLeft w:val="0"/>
                              <w:marRight w:val="0"/>
                              <w:marTop w:val="0"/>
                              <w:marBottom w:val="0"/>
                              <w:divBdr>
                                <w:top w:val="none" w:sz="0" w:space="0" w:color="auto"/>
                                <w:left w:val="none" w:sz="0" w:space="0" w:color="auto"/>
                                <w:bottom w:val="none" w:sz="0" w:space="0" w:color="auto"/>
                                <w:right w:val="none" w:sz="0" w:space="0" w:color="auto"/>
                              </w:divBdr>
                              <w:divsChild>
                                <w:div w:id="20923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2602">
          <w:marLeft w:val="0"/>
          <w:marRight w:val="0"/>
          <w:marTop w:val="0"/>
          <w:marBottom w:val="0"/>
          <w:divBdr>
            <w:top w:val="none" w:sz="0" w:space="0" w:color="auto"/>
            <w:left w:val="none" w:sz="0" w:space="0" w:color="auto"/>
            <w:bottom w:val="none" w:sz="0" w:space="0" w:color="auto"/>
            <w:right w:val="none" w:sz="0" w:space="0" w:color="auto"/>
          </w:divBdr>
          <w:divsChild>
            <w:div w:id="1074472985">
              <w:marLeft w:val="1894"/>
              <w:marRight w:val="1894"/>
              <w:marTop w:val="0"/>
              <w:marBottom w:val="0"/>
              <w:divBdr>
                <w:top w:val="none" w:sz="0" w:space="0" w:color="auto"/>
                <w:left w:val="none" w:sz="0" w:space="0" w:color="auto"/>
                <w:bottom w:val="none" w:sz="0" w:space="0" w:color="auto"/>
                <w:right w:val="none" w:sz="0" w:space="0" w:color="auto"/>
              </w:divBdr>
              <w:divsChild>
                <w:div w:id="70590708">
                  <w:marLeft w:val="0"/>
                  <w:marRight w:val="0"/>
                  <w:marTop w:val="0"/>
                  <w:marBottom w:val="0"/>
                  <w:divBdr>
                    <w:top w:val="none" w:sz="0" w:space="0" w:color="auto"/>
                    <w:left w:val="none" w:sz="0" w:space="0" w:color="auto"/>
                    <w:bottom w:val="none" w:sz="0" w:space="0" w:color="auto"/>
                    <w:right w:val="none" w:sz="0" w:space="0" w:color="auto"/>
                  </w:divBdr>
                  <w:divsChild>
                    <w:div w:id="1152797885">
                      <w:marLeft w:val="0"/>
                      <w:marRight w:val="0"/>
                      <w:marTop w:val="0"/>
                      <w:marBottom w:val="0"/>
                      <w:divBdr>
                        <w:top w:val="none" w:sz="0" w:space="0" w:color="auto"/>
                        <w:left w:val="none" w:sz="0" w:space="0" w:color="auto"/>
                        <w:bottom w:val="none" w:sz="0" w:space="0" w:color="auto"/>
                        <w:right w:val="none" w:sz="0" w:space="0" w:color="auto"/>
                      </w:divBdr>
                      <w:divsChild>
                        <w:div w:id="1534490057">
                          <w:marLeft w:val="0"/>
                          <w:marRight w:val="0"/>
                          <w:marTop w:val="0"/>
                          <w:marBottom w:val="0"/>
                          <w:divBdr>
                            <w:top w:val="none" w:sz="0" w:space="0" w:color="auto"/>
                            <w:left w:val="none" w:sz="0" w:space="0" w:color="auto"/>
                            <w:bottom w:val="none" w:sz="0" w:space="0" w:color="auto"/>
                            <w:right w:val="none" w:sz="0" w:space="0" w:color="auto"/>
                          </w:divBdr>
                          <w:divsChild>
                            <w:div w:id="770972693">
                              <w:marLeft w:val="0"/>
                              <w:marRight w:val="0"/>
                              <w:marTop w:val="0"/>
                              <w:marBottom w:val="0"/>
                              <w:divBdr>
                                <w:top w:val="none" w:sz="0" w:space="0" w:color="auto"/>
                                <w:left w:val="none" w:sz="0" w:space="0" w:color="auto"/>
                                <w:bottom w:val="none" w:sz="0" w:space="0" w:color="auto"/>
                                <w:right w:val="none" w:sz="0" w:space="0" w:color="auto"/>
                              </w:divBdr>
                              <w:divsChild>
                                <w:div w:id="576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6418">
      <w:bodyDiv w:val="1"/>
      <w:marLeft w:val="0"/>
      <w:marRight w:val="0"/>
      <w:marTop w:val="0"/>
      <w:marBottom w:val="0"/>
      <w:divBdr>
        <w:top w:val="none" w:sz="0" w:space="0" w:color="auto"/>
        <w:left w:val="none" w:sz="0" w:space="0" w:color="auto"/>
        <w:bottom w:val="none" w:sz="0" w:space="0" w:color="auto"/>
        <w:right w:val="none" w:sz="0" w:space="0" w:color="auto"/>
      </w:divBdr>
      <w:divsChild>
        <w:div w:id="1600873963">
          <w:marLeft w:val="0"/>
          <w:marRight w:val="0"/>
          <w:marTop w:val="0"/>
          <w:marBottom w:val="0"/>
          <w:divBdr>
            <w:top w:val="none" w:sz="0" w:space="0" w:color="auto"/>
            <w:left w:val="none" w:sz="0" w:space="0" w:color="auto"/>
            <w:bottom w:val="none" w:sz="0" w:space="0" w:color="auto"/>
            <w:right w:val="none" w:sz="0" w:space="0" w:color="auto"/>
          </w:divBdr>
          <w:divsChild>
            <w:div w:id="1870333271">
              <w:marLeft w:val="-225"/>
              <w:marRight w:val="-225"/>
              <w:marTop w:val="0"/>
              <w:marBottom w:val="0"/>
              <w:divBdr>
                <w:top w:val="none" w:sz="0" w:space="0" w:color="auto"/>
                <w:left w:val="none" w:sz="0" w:space="0" w:color="auto"/>
                <w:bottom w:val="none" w:sz="0" w:space="0" w:color="auto"/>
                <w:right w:val="none" w:sz="0" w:space="0" w:color="auto"/>
              </w:divBdr>
              <w:divsChild>
                <w:div w:id="373894677">
                  <w:marLeft w:val="0"/>
                  <w:marRight w:val="0"/>
                  <w:marTop w:val="0"/>
                  <w:marBottom w:val="0"/>
                  <w:divBdr>
                    <w:top w:val="none" w:sz="0" w:space="0" w:color="auto"/>
                    <w:left w:val="none" w:sz="0" w:space="0" w:color="auto"/>
                    <w:bottom w:val="none" w:sz="0" w:space="0" w:color="auto"/>
                    <w:right w:val="none" w:sz="0" w:space="0" w:color="auto"/>
                  </w:divBdr>
                  <w:divsChild>
                    <w:div w:id="1367562770">
                      <w:marLeft w:val="0"/>
                      <w:marRight w:val="0"/>
                      <w:marTop w:val="0"/>
                      <w:marBottom w:val="0"/>
                      <w:divBdr>
                        <w:top w:val="none" w:sz="0" w:space="0" w:color="auto"/>
                        <w:left w:val="none" w:sz="0" w:space="0" w:color="auto"/>
                        <w:bottom w:val="none" w:sz="0" w:space="0" w:color="auto"/>
                        <w:right w:val="none" w:sz="0" w:space="0" w:color="auto"/>
                      </w:divBdr>
                      <w:divsChild>
                        <w:div w:id="245311393">
                          <w:marLeft w:val="0"/>
                          <w:marRight w:val="0"/>
                          <w:marTop w:val="0"/>
                          <w:marBottom w:val="0"/>
                          <w:divBdr>
                            <w:top w:val="none" w:sz="0" w:space="0" w:color="auto"/>
                            <w:left w:val="none" w:sz="0" w:space="0" w:color="auto"/>
                            <w:bottom w:val="none" w:sz="0" w:space="0" w:color="auto"/>
                            <w:right w:val="none" w:sz="0" w:space="0" w:color="auto"/>
                          </w:divBdr>
                          <w:divsChild>
                            <w:div w:id="1178958053">
                              <w:marLeft w:val="0"/>
                              <w:marRight w:val="0"/>
                              <w:marTop w:val="0"/>
                              <w:marBottom w:val="0"/>
                              <w:divBdr>
                                <w:top w:val="none" w:sz="0" w:space="0" w:color="auto"/>
                                <w:left w:val="none" w:sz="0" w:space="0" w:color="auto"/>
                                <w:bottom w:val="none" w:sz="0" w:space="0" w:color="auto"/>
                                <w:right w:val="none" w:sz="0" w:space="0" w:color="auto"/>
                              </w:divBdr>
                              <w:divsChild>
                                <w:div w:id="1783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332369">
          <w:marLeft w:val="0"/>
          <w:marRight w:val="0"/>
          <w:marTop w:val="0"/>
          <w:marBottom w:val="0"/>
          <w:divBdr>
            <w:top w:val="none" w:sz="0" w:space="0" w:color="auto"/>
            <w:left w:val="none" w:sz="0" w:space="0" w:color="auto"/>
            <w:bottom w:val="none" w:sz="0" w:space="0" w:color="auto"/>
            <w:right w:val="none" w:sz="0" w:space="0" w:color="auto"/>
          </w:divBdr>
          <w:divsChild>
            <w:div w:id="586234848">
              <w:marLeft w:val="-413"/>
              <w:marRight w:val="-413"/>
              <w:marTop w:val="0"/>
              <w:marBottom w:val="0"/>
              <w:divBdr>
                <w:top w:val="none" w:sz="0" w:space="0" w:color="auto"/>
                <w:left w:val="none" w:sz="0" w:space="0" w:color="auto"/>
                <w:bottom w:val="none" w:sz="0" w:space="0" w:color="auto"/>
                <w:right w:val="none" w:sz="0" w:space="0" w:color="auto"/>
              </w:divBdr>
              <w:divsChild>
                <w:div w:id="922758810">
                  <w:marLeft w:val="0"/>
                  <w:marRight w:val="0"/>
                  <w:marTop w:val="0"/>
                  <w:marBottom w:val="0"/>
                  <w:divBdr>
                    <w:top w:val="none" w:sz="0" w:space="0" w:color="auto"/>
                    <w:left w:val="none" w:sz="0" w:space="0" w:color="auto"/>
                    <w:bottom w:val="none" w:sz="0" w:space="0" w:color="auto"/>
                    <w:right w:val="none" w:sz="0" w:space="0" w:color="auto"/>
                  </w:divBdr>
                  <w:divsChild>
                    <w:div w:id="354842580">
                      <w:marLeft w:val="0"/>
                      <w:marRight w:val="0"/>
                      <w:marTop w:val="0"/>
                      <w:marBottom w:val="0"/>
                      <w:divBdr>
                        <w:top w:val="none" w:sz="0" w:space="0" w:color="auto"/>
                        <w:left w:val="none" w:sz="0" w:space="0" w:color="auto"/>
                        <w:bottom w:val="none" w:sz="0" w:space="0" w:color="auto"/>
                        <w:right w:val="none" w:sz="0" w:space="0" w:color="auto"/>
                      </w:divBdr>
                      <w:divsChild>
                        <w:div w:id="1681857041">
                          <w:marLeft w:val="0"/>
                          <w:marRight w:val="0"/>
                          <w:marTop w:val="0"/>
                          <w:marBottom w:val="0"/>
                          <w:divBdr>
                            <w:top w:val="none" w:sz="0" w:space="0" w:color="auto"/>
                            <w:left w:val="none" w:sz="0" w:space="0" w:color="auto"/>
                            <w:bottom w:val="none" w:sz="0" w:space="0" w:color="auto"/>
                            <w:right w:val="none" w:sz="0" w:space="0" w:color="auto"/>
                          </w:divBdr>
                          <w:divsChild>
                            <w:div w:id="1257790830">
                              <w:marLeft w:val="0"/>
                              <w:marRight w:val="0"/>
                              <w:marTop w:val="0"/>
                              <w:marBottom w:val="0"/>
                              <w:divBdr>
                                <w:top w:val="none" w:sz="0" w:space="0" w:color="auto"/>
                                <w:left w:val="none" w:sz="0" w:space="0" w:color="auto"/>
                                <w:bottom w:val="none" w:sz="0" w:space="0" w:color="auto"/>
                                <w:right w:val="none" w:sz="0" w:space="0" w:color="auto"/>
                              </w:divBdr>
                              <w:divsChild>
                                <w:div w:id="1346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3833">
                  <w:marLeft w:val="0"/>
                  <w:marRight w:val="0"/>
                  <w:marTop w:val="0"/>
                  <w:marBottom w:val="0"/>
                  <w:divBdr>
                    <w:top w:val="none" w:sz="0" w:space="0" w:color="auto"/>
                    <w:left w:val="none" w:sz="0" w:space="0" w:color="auto"/>
                    <w:bottom w:val="none" w:sz="0" w:space="0" w:color="auto"/>
                    <w:right w:val="none" w:sz="0" w:space="0" w:color="auto"/>
                  </w:divBdr>
                  <w:divsChild>
                    <w:div w:id="1772970915">
                      <w:marLeft w:val="0"/>
                      <w:marRight w:val="0"/>
                      <w:marTop w:val="0"/>
                      <w:marBottom w:val="0"/>
                      <w:divBdr>
                        <w:top w:val="none" w:sz="0" w:space="0" w:color="auto"/>
                        <w:left w:val="none" w:sz="0" w:space="0" w:color="auto"/>
                        <w:bottom w:val="none" w:sz="0" w:space="0" w:color="auto"/>
                        <w:right w:val="none" w:sz="0" w:space="0" w:color="auto"/>
                      </w:divBdr>
                      <w:divsChild>
                        <w:div w:id="1820488398">
                          <w:marLeft w:val="0"/>
                          <w:marRight w:val="0"/>
                          <w:marTop w:val="0"/>
                          <w:marBottom w:val="0"/>
                          <w:divBdr>
                            <w:top w:val="none" w:sz="0" w:space="0" w:color="auto"/>
                            <w:left w:val="none" w:sz="0" w:space="0" w:color="auto"/>
                            <w:bottom w:val="none" w:sz="0" w:space="0" w:color="auto"/>
                            <w:right w:val="none" w:sz="0" w:space="0" w:color="auto"/>
                          </w:divBdr>
                          <w:divsChild>
                            <w:div w:id="26807159">
                              <w:marLeft w:val="0"/>
                              <w:marRight w:val="0"/>
                              <w:marTop w:val="0"/>
                              <w:marBottom w:val="0"/>
                              <w:divBdr>
                                <w:top w:val="none" w:sz="0" w:space="0" w:color="auto"/>
                                <w:left w:val="none" w:sz="0" w:space="0" w:color="auto"/>
                                <w:bottom w:val="none" w:sz="0" w:space="0" w:color="auto"/>
                                <w:right w:val="none" w:sz="0" w:space="0" w:color="auto"/>
                              </w:divBdr>
                              <w:divsChild>
                                <w:div w:id="18814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36842">
                  <w:marLeft w:val="0"/>
                  <w:marRight w:val="0"/>
                  <w:marTop w:val="0"/>
                  <w:marBottom w:val="0"/>
                  <w:divBdr>
                    <w:top w:val="none" w:sz="0" w:space="0" w:color="auto"/>
                    <w:left w:val="none" w:sz="0" w:space="0" w:color="auto"/>
                    <w:bottom w:val="none" w:sz="0" w:space="0" w:color="auto"/>
                    <w:right w:val="none" w:sz="0" w:space="0" w:color="auto"/>
                  </w:divBdr>
                  <w:divsChild>
                    <w:div w:id="685641285">
                      <w:marLeft w:val="0"/>
                      <w:marRight w:val="0"/>
                      <w:marTop w:val="0"/>
                      <w:marBottom w:val="0"/>
                      <w:divBdr>
                        <w:top w:val="none" w:sz="0" w:space="0" w:color="auto"/>
                        <w:left w:val="none" w:sz="0" w:space="0" w:color="auto"/>
                        <w:bottom w:val="none" w:sz="0" w:space="0" w:color="auto"/>
                        <w:right w:val="none" w:sz="0" w:space="0" w:color="auto"/>
                      </w:divBdr>
                      <w:divsChild>
                        <w:div w:id="1390030906">
                          <w:marLeft w:val="0"/>
                          <w:marRight w:val="0"/>
                          <w:marTop w:val="0"/>
                          <w:marBottom w:val="0"/>
                          <w:divBdr>
                            <w:top w:val="none" w:sz="0" w:space="0" w:color="auto"/>
                            <w:left w:val="none" w:sz="0" w:space="0" w:color="auto"/>
                            <w:bottom w:val="none" w:sz="0" w:space="0" w:color="auto"/>
                            <w:right w:val="none" w:sz="0" w:space="0" w:color="auto"/>
                          </w:divBdr>
                          <w:divsChild>
                            <w:div w:id="673722710">
                              <w:marLeft w:val="0"/>
                              <w:marRight w:val="0"/>
                              <w:marTop w:val="0"/>
                              <w:marBottom w:val="0"/>
                              <w:divBdr>
                                <w:top w:val="none" w:sz="0" w:space="0" w:color="auto"/>
                                <w:left w:val="none" w:sz="0" w:space="0" w:color="auto"/>
                                <w:bottom w:val="none" w:sz="0" w:space="0" w:color="auto"/>
                                <w:right w:val="none" w:sz="0" w:space="0" w:color="auto"/>
                              </w:divBdr>
                              <w:divsChild>
                                <w:div w:id="202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Aldo%20Trapero%20Todo\Aldo%20Antonio%20Trapero%20Maldonado\Ofici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8E3A-86F9-457A-9977-F0AD1998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Template>
  <TotalTime>13</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Antonio Trapero Maldonado</dc:creator>
  <cp:keywords/>
  <dc:description/>
  <cp:lastModifiedBy>Aldo Antonio Trapero Maldonado</cp:lastModifiedBy>
  <cp:revision>3</cp:revision>
  <cp:lastPrinted>2019-04-02T00:58:00Z</cp:lastPrinted>
  <dcterms:created xsi:type="dcterms:W3CDTF">2019-08-07T03:17:00Z</dcterms:created>
  <dcterms:modified xsi:type="dcterms:W3CDTF">2019-08-07T17:36:00Z</dcterms:modified>
</cp:coreProperties>
</file>