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  <w:r w:rsidRPr="00A873B1">
        <w:rPr>
          <w:rFonts w:ascii="Century Gothic" w:hAnsi="Century Gothic"/>
          <w:b/>
          <w:sz w:val="30"/>
          <w:szCs w:val="30"/>
        </w:rPr>
        <w:t>Evaluación de las obligaciones de Oficio en los Portales de Internet.</w:t>
      </w:r>
    </w:p>
    <w:p w:rsidR="00A873B1" w:rsidRP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</w:p>
    <w:p w:rsidR="00A76E0F" w:rsidRPr="00DF7C9F" w:rsidRDefault="00A873B1" w:rsidP="00A873B1">
      <w:pPr>
        <w:jc w:val="both"/>
        <w:rPr>
          <w:rFonts w:ascii="Century Gothic" w:hAnsi="Century Gothic"/>
          <w:i/>
          <w:sz w:val="30"/>
          <w:szCs w:val="30"/>
        </w:rPr>
      </w:pPr>
      <w:r w:rsidRPr="00A873B1">
        <w:rPr>
          <w:rFonts w:ascii="Century Gothic" w:hAnsi="Century Gothic"/>
          <w:sz w:val="30"/>
          <w:szCs w:val="30"/>
        </w:rPr>
        <w:t xml:space="preserve">Derivado de la promulgación de la Ley de transparencia y Acceso a la Información Pública y Rendición de Cuentas de la Ciudad de México el pasado 6 de mayo </w:t>
      </w:r>
      <w:r w:rsidR="00FC2EE6">
        <w:rPr>
          <w:rFonts w:ascii="Century Gothic" w:hAnsi="Century Gothic"/>
          <w:sz w:val="30"/>
          <w:szCs w:val="30"/>
        </w:rPr>
        <w:t>del 2016,</w:t>
      </w:r>
      <w:r w:rsidR="00A76E0F">
        <w:rPr>
          <w:rFonts w:ascii="Century Gothic" w:hAnsi="Century Gothic"/>
          <w:sz w:val="30"/>
          <w:szCs w:val="30"/>
        </w:rPr>
        <w:t xml:space="preserve"> </w:t>
      </w:r>
      <w:r w:rsidR="00375C34">
        <w:rPr>
          <w:rFonts w:ascii="Century Gothic" w:hAnsi="Century Gothic"/>
          <w:sz w:val="30"/>
          <w:szCs w:val="30"/>
        </w:rPr>
        <w:t>en el punto Tercero</w:t>
      </w:r>
      <w:r w:rsidR="00FC2EE6" w:rsidRPr="00FC2EE6">
        <w:rPr>
          <w:rFonts w:ascii="Century Gothic" w:hAnsi="Century Gothic"/>
          <w:sz w:val="30"/>
          <w:szCs w:val="30"/>
        </w:rPr>
        <w:t xml:space="preserve"> </w:t>
      </w:r>
      <w:r w:rsidR="00FC2EE6">
        <w:rPr>
          <w:rFonts w:ascii="Century Gothic" w:hAnsi="Century Gothic"/>
          <w:sz w:val="30"/>
          <w:szCs w:val="30"/>
        </w:rPr>
        <w:t>del Acuerdo No. 1636/SO/10-11/2016</w:t>
      </w:r>
      <w:r w:rsidR="00375C34">
        <w:rPr>
          <w:rFonts w:ascii="Century Gothic" w:hAnsi="Century Gothic"/>
          <w:sz w:val="30"/>
          <w:szCs w:val="30"/>
        </w:rPr>
        <w:t xml:space="preserve"> se indica lo siguiente: </w:t>
      </w:r>
      <w:r w:rsidR="00375C34" w:rsidRPr="00DF7C9F">
        <w:rPr>
          <w:rFonts w:ascii="Century Gothic" w:hAnsi="Century Gothic"/>
          <w:i/>
          <w:sz w:val="30"/>
          <w:szCs w:val="30"/>
        </w:rPr>
        <w:t xml:space="preserve">“Se instruye a la Dirección de Evaluación y Estudios para que con base a los Lineamientos y Metodología de Evaluación aprobados en el presente Acuerdo, realice durante el primer semestre de 2017 la Primera Evaluación Diagnostica a los portales de transparencia de los Sujetos Obligados de la Ciudad de México, la cual no tendrá efectos vinculantes y se realizará </w:t>
      </w:r>
      <w:r w:rsidR="00FC2EE6" w:rsidRPr="00DF7C9F">
        <w:rPr>
          <w:rFonts w:ascii="Century Gothic" w:hAnsi="Century Gothic"/>
          <w:i/>
          <w:sz w:val="30"/>
          <w:szCs w:val="30"/>
        </w:rPr>
        <w:t>de forma aleatoria</w:t>
      </w:r>
      <w:r w:rsidR="00375C34" w:rsidRPr="00DF7C9F">
        <w:rPr>
          <w:rFonts w:ascii="Century Gothic" w:hAnsi="Century Gothic"/>
          <w:i/>
          <w:sz w:val="30"/>
          <w:szCs w:val="30"/>
        </w:rPr>
        <w:t>,</w:t>
      </w:r>
      <w:r w:rsidR="00FC2EE6" w:rsidRPr="00DF7C9F">
        <w:rPr>
          <w:rFonts w:ascii="Century Gothic" w:hAnsi="Century Gothic"/>
          <w:i/>
          <w:sz w:val="30"/>
          <w:szCs w:val="30"/>
        </w:rPr>
        <w:t xml:space="preserve"> </w:t>
      </w:r>
      <w:r w:rsidR="00375C34" w:rsidRPr="00DF7C9F">
        <w:rPr>
          <w:rFonts w:ascii="Century Gothic" w:hAnsi="Century Gothic"/>
          <w:i/>
          <w:sz w:val="30"/>
          <w:szCs w:val="30"/>
        </w:rPr>
        <w:t>por muestreo o periódica con base a los establecido en el artículo 151 de la LTAIPRC”</w:t>
      </w:r>
    </w:p>
    <w:p w:rsidR="00A76E0F" w:rsidRDefault="00A76E0F" w:rsidP="00A873B1">
      <w:pPr>
        <w:jc w:val="both"/>
        <w:rPr>
          <w:rFonts w:ascii="Century Gothic" w:hAnsi="Century Gothic"/>
          <w:sz w:val="30"/>
          <w:szCs w:val="30"/>
        </w:rPr>
      </w:pPr>
    </w:p>
    <w:p w:rsidR="00345F9D" w:rsidRPr="00345F9D" w:rsidRDefault="00345F9D" w:rsidP="00345F9D">
      <w:pPr>
        <w:rPr>
          <w:rFonts w:ascii="Century Gothic" w:hAnsi="Century Gothic"/>
          <w:sz w:val="30"/>
          <w:szCs w:val="30"/>
        </w:rPr>
      </w:pPr>
    </w:p>
    <w:p w:rsidR="00F3769C" w:rsidRPr="008D185C" w:rsidRDefault="00DF7C9F" w:rsidP="00DF7C9F">
      <w:pPr>
        <w:jc w:val="both"/>
        <w:rPr>
          <w:rFonts w:ascii="Century Gothic" w:hAnsi="Century Gothic"/>
          <w:b/>
          <w:sz w:val="30"/>
          <w:szCs w:val="30"/>
        </w:rPr>
      </w:pPr>
      <w:r w:rsidRPr="00DF7C9F">
        <w:rPr>
          <w:rFonts w:ascii="Century Gothic" w:hAnsi="Century Gothic"/>
          <w:b/>
          <w:sz w:val="30"/>
          <w:szCs w:val="30"/>
        </w:rPr>
        <w:t>Derivado de lo anterior</w:t>
      </w:r>
      <w:r w:rsidR="008D185C">
        <w:rPr>
          <w:rFonts w:ascii="Century Gothic" w:hAnsi="Century Gothic"/>
          <w:b/>
          <w:sz w:val="30"/>
          <w:szCs w:val="30"/>
        </w:rPr>
        <w:t xml:space="preserve"> se aprobó mediante el Acuerdo No. 0614/SE/02-05/2017 </w:t>
      </w:r>
      <w:r w:rsidR="003B3F3F">
        <w:rPr>
          <w:rFonts w:ascii="Century Gothic" w:hAnsi="Century Gothic"/>
          <w:b/>
          <w:sz w:val="30"/>
          <w:szCs w:val="30"/>
        </w:rPr>
        <w:t>“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el voto del Pleno del Instituto de Acceso a la Información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Pública y Protección de Datos Personales del Distrito Federal, a favor de las directrices para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llevar a cabo la Verificación Diagnóstica establecida en el artículo Tercero Transitorio de los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Lineamientos Técnicos Generales para la Publicación, Homologación y Estandarización de la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Información de las Obligaciones establecidas en el Titulo Quinto y en la Fracción IV, del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artículo 31 de la Ley General de Transparencia y Acceso a la Información Pública, que deben de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difundir los Sujetos Obligados en los Portales de Internet y en la Plataforma Nacional de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Transparencia; así como la atención a la Denuncia por Incumplimiento a las Obligaciones de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 xml:space="preserve"> </w:t>
      </w:r>
      <w:r w:rsidR="008D185C" w:rsidRPr="003B3F3F">
        <w:rPr>
          <w:rFonts w:ascii="Century Gothic" w:hAnsi="Century Gothic"/>
          <w:b/>
          <w:i/>
          <w:sz w:val="30"/>
          <w:szCs w:val="30"/>
        </w:rPr>
        <w:t>Transparencia</w:t>
      </w:r>
      <w:r w:rsidR="003B3F3F">
        <w:rPr>
          <w:rFonts w:ascii="Century Gothic" w:hAnsi="Century Gothic"/>
          <w:b/>
          <w:sz w:val="30"/>
          <w:szCs w:val="30"/>
        </w:rPr>
        <w:t>”</w:t>
      </w:r>
    </w:p>
    <w:p w:rsidR="00F3769C" w:rsidRDefault="00F3769C" w:rsidP="00345F9D">
      <w:pPr>
        <w:rPr>
          <w:rFonts w:ascii="Century Gothic" w:hAnsi="Century Gothic"/>
          <w:b/>
          <w:sz w:val="30"/>
          <w:szCs w:val="30"/>
        </w:rPr>
      </w:pPr>
    </w:p>
    <w:p w:rsidR="00F3769C" w:rsidRDefault="00F3769C" w:rsidP="00345F9D">
      <w:pPr>
        <w:rPr>
          <w:rFonts w:ascii="Century Gothic" w:hAnsi="Century Gothic"/>
          <w:b/>
          <w:sz w:val="30"/>
          <w:szCs w:val="30"/>
        </w:rPr>
      </w:pPr>
    </w:p>
    <w:p w:rsidR="00056B0E" w:rsidRDefault="00F3769C" w:rsidP="00345F9D">
      <w:pPr>
        <w:rPr>
          <w:rFonts w:ascii="Century Gothic" w:hAnsi="Century Gothic"/>
          <w:b/>
          <w:sz w:val="30"/>
          <w:szCs w:val="30"/>
        </w:rPr>
      </w:pPr>
      <w:r w:rsidRPr="00F3769C">
        <w:rPr>
          <w:rFonts w:ascii="Century Gothic" w:hAnsi="Century Gothic"/>
          <w:b/>
          <w:sz w:val="30"/>
          <w:szCs w:val="30"/>
        </w:rPr>
        <w:lastRenderedPageBreak/>
        <w:t>Se anexa el vínculo al acuerdo</w:t>
      </w:r>
    </w:p>
    <w:p w:rsidR="00F3769C" w:rsidRPr="00F3769C" w:rsidRDefault="00F3769C" w:rsidP="00345F9D">
      <w:pPr>
        <w:rPr>
          <w:rFonts w:ascii="Century Gothic" w:hAnsi="Century Gothic"/>
          <w:b/>
          <w:sz w:val="30"/>
          <w:szCs w:val="30"/>
        </w:rPr>
      </w:pPr>
    </w:p>
    <w:p w:rsidR="00F3769C" w:rsidRPr="003B3F3F" w:rsidRDefault="00F3769C" w:rsidP="003B3F3F">
      <w:pPr>
        <w:rPr>
          <w:rFonts w:ascii="Century Gothic" w:hAnsi="Century Gothic"/>
          <w:sz w:val="30"/>
          <w:szCs w:val="30"/>
          <w:u w:val="single"/>
        </w:rPr>
      </w:pPr>
    </w:p>
    <w:p w:rsidR="00F3769C" w:rsidRPr="003B3F3F" w:rsidRDefault="00F3769C" w:rsidP="003B3F3F">
      <w:pPr>
        <w:rPr>
          <w:rFonts w:ascii="Century Gothic" w:hAnsi="Century Gothic"/>
          <w:sz w:val="30"/>
          <w:szCs w:val="30"/>
          <w:u w:val="single"/>
        </w:rPr>
      </w:pPr>
      <w:hyperlink r:id="rId8" w:history="1">
        <w:r w:rsidRPr="003B3F3F">
          <w:rPr>
            <w:rStyle w:val="Hipervnculo"/>
            <w:rFonts w:ascii="Century Gothic" w:hAnsi="Century Gothic"/>
            <w:sz w:val="30"/>
            <w:szCs w:val="30"/>
          </w:rPr>
          <w:t>http://www.infodf.org.mx/LTAIPRC-2016-OT/Art121/Fr01/2017/Acuerdos/A121Fr01_2017-T02_Acdo-2017-05-02-0614.PDF</w:t>
        </w:r>
      </w:hyperlink>
    </w:p>
    <w:p w:rsidR="00F3769C" w:rsidRDefault="00F3769C" w:rsidP="00345F9D">
      <w:pPr>
        <w:rPr>
          <w:szCs w:val="18"/>
          <w:u w:val="single"/>
        </w:rPr>
      </w:pPr>
    </w:p>
    <w:p w:rsidR="00F3769C" w:rsidRDefault="00F3769C" w:rsidP="00345F9D">
      <w:pPr>
        <w:rPr>
          <w:szCs w:val="18"/>
          <w:u w:val="single"/>
        </w:rPr>
      </w:pPr>
    </w:p>
    <w:p w:rsidR="003B3F3F" w:rsidRDefault="003B3F3F" w:rsidP="00F3769C">
      <w:pPr>
        <w:jc w:val="both"/>
        <w:rPr>
          <w:rFonts w:ascii="Century Gothic" w:hAnsi="Century Gothic"/>
          <w:sz w:val="30"/>
          <w:szCs w:val="30"/>
        </w:rPr>
      </w:pPr>
    </w:p>
    <w:p w:rsidR="00F3769C" w:rsidRPr="00F3769C" w:rsidRDefault="00F3769C" w:rsidP="00F3769C">
      <w:pPr>
        <w:jc w:val="both"/>
        <w:rPr>
          <w:rFonts w:ascii="Century Gothic" w:hAnsi="Century Gothic"/>
          <w:sz w:val="30"/>
          <w:szCs w:val="30"/>
        </w:rPr>
      </w:pPr>
      <w:r w:rsidRPr="00F3769C">
        <w:rPr>
          <w:rFonts w:ascii="Century Gothic" w:hAnsi="Century Gothic"/>
          <w:sz w:val="30"/>
          <w:szCs w:val="30"/>
        </w:rPr>
        <w:t>Además de ello, no se realizó otro Acuerdo del Pleno relacionado con la Evaluación.</w:t>
      </w:r>
      <w:bookmarkStart w:id="0" w:name="_GoBack"/>
      <w:bookmarkEnd w:id="0"/>
    </w:p>
    <w:sectPr w:rsidR="00F3769C" w:rsidRPr="00F3769C" w:rsidSect="006C34D2">
      <w:headerReference w:type="default" r:id="rId9"/>
      <w:footerReference w:type="default" r:id="rId10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56" w:rsidRDefault="00391456">
      <w:r>
        <w:separator/>
      </w:r>
    </w:p>
  </w:endnote>
  <w:endnote w:type="continuationSeparator" w:id="0">
    <w:p w:rsidR="00391456" w:rsidRDefault="0039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56" w:rsidRDefault="00391456">
      <w:r>
        <w:separator/>
      </w:r>
    </w:p>
  </w:footnote>
  <w:footnote w:type="continuationSeparator" w:id="0">
    <w:p w:rsidR="00391456" w:rsidRDefault="0039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proofErr w:type="gramStart"/>
    <w:r w:rsidRPr="004516C9">
      <w:rPr>
        <w:rFonts w:ascii="Gill Sans" w:hAnsi="Gill Sans" w:cs="Arial"/>
        <w:color w:val="07888A"/>
        <w:sz w:val="28"/>
        <w:lang w:val="es-MX"/>
      </w:rPr>
      <w:t>y</w:t>
    </w:r>
    <w:proofErr w:type="gramEnd"/>
    <w:r w:rsidRPr="004516C9">
      <w:rPr>
        <w:rFonts w:ascii="Gill Sans" w:hAnsi="Gill Sans" w:cs="Arial"/>
        <w:color w:val="07888A"/>
        <w:sz w:val="28"/>
        <w:lang w:val="es-MX"/>
      </w:rPr>
      <w:t xml:space="preserve">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49"/>
    <w:rsid w:val="00010490"/>
    <w:rsid w:val="0001440A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1EA4"/>
    <w:rsid w:val="00322BA1"/>
    <w:rsid w:val="003244B7"/>
    <w:rsid w:val="00324B64"/>
    <w:rsid w:val="00326391"/>
    <w:rsid w:val="00345F9D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1456"/>
    <w:rsid w:val="0039600A"/>
    <w:rsid w:val="003A0006"/>
    <w:rsid w:val="003A2055"/>
    <w:rsid w:val="003A642F"/>
    <w:rsid w:val="003B05A6"/>
    <w:rsid w:val="003B3F3F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2DA9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185C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3464D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DF7C9F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3769C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3E12F8-C076-4D76-9B26-8F07632A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Descripcin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df.org.mx/LTAIPRC-2016-OT/Art121/Fr01/2017/Acuerdos/A121Fr01_2017-T02_Acdo-2017-05-02-06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7CC8-55ED-4568-BC0A-A4401449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Monica Gabriela Huesca Perez</cp:lastModifiedBy>
  <cp:revision>2</cp:revision>
  <cp:lastPrinted>2016-01-19T20:46:00Z</cp:lastPrinted>
  <dcterms:created xsi:type="dcterms:W3CDTF">2017-12-08T18:11:00Z</dcterms:created>
  <dcterms:modified xsi:type="dcterms:W3CDTF">2017-12-08T18:11:00Z</dcterms:modified>
</cp:coreProperties>
</file>