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D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A97216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Resultados de la verificación al cumplimiento de la Ley por parte de los sujetos obligados</w:t>
      </w:r>
      <w:r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.</w:t>
      </w:r>
    </w:p>
    <w:p w:rsidR="00A97216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</w:p>
    <w:p w:rsidR="00A97216" w:rsidRPr="00A97216" w:rsidRDefault="00A97216" w:rsidP="00991042">
      <w:pPr>
        <w:jc w:val="both"/>
        <w:rPr>
          <w:rFonts w:ascii="Century Gothic" w:hAnsi="Century Gothic"/>
          <w:sz w:val="40"/>
          <w:szCs w:val="30"/>
        </w:rPr>
      </w:pPr>
      <w:r w:rsidRPr="00A97216">
        <w:rPr>
          <w:rFonts w:ascii="Century Gothic" w:hAnsi="Century Gothic"/>
          <w:sz w:val="40"/>
          <w:szCs w:val="30"/>
        </w:rPr>
        <w:t>No se realizó evaluación en  este periodo. Únicamente se dio seguimiento a la atención de las  recomendaciones emitidas en la primera evaluación, la cual se reporta en el primer trimestre de 2018.</w:t>
      </w:r>
      <w:bookmarkStart w:id="0" w:name="_GoBack"/>
      <w:bookmarkEnd w:id="0"/>
    </w:p>
    <w:p w:rsidR="000474AD" w:rsidRPr="003F56CA" w:rsidRDefault="000474AD" w:rsidP="00B20EF9">
      <w:pPr>
        <w:jc w:val="both"/>
        <w:rPr>
          <w:rFonts w:ascii="Century Gothic" w:hAnsi="Century Gothic"/>
          <w:szCs w:val="18"/>
        </w:rPr>
      </w:pPr>
    </w:p>
    <w:sectPr w:rsidR="000474AD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F9" w:rsidRDefault="00FB63F9">
      <w:r>
        <w:separator/>
      </w:r>
    </w:p>
  </w:endnote>
  <w:endnote w:type="continuationSeparator" w:id="0">
    <w:p w:rsidR="00FB63F9" w:rsidRDefault="00F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F9" w:rsidRDefault="00FB63F9">
      <w:r>
        <w:separator/>
      </w:r>
    </w:p>
  </w:footnote>
  <w:footnote w:type="continuationSeparator" w:id="0">
    <w:p w:rsidR="00FB63F9" w:rsidRDefault="00FB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B0F74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854DA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A613D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50F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24F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216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0EF9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1943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B63F9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D2DB-6C54-4219-ADF3-A46765F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2</cp:revision>
  <cp:lastPrinted>2016-01-19T20:46:00Z</cp:lastPrinted>
  <dcterms:created xsi:type="dcterms:W3CDTF">2018-07-17T19:59:00Z</dcterms:created>
  <dcterms:modified xsi:type="dcterms:W3CDTF">2018-07-17T19:59:00Z</dcterms:modified>
</cp:coreProperties>
</file>