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75" w:rsidRPr="00C61A58" w:rsidRDefault="009E0E75" w:rsidP="009E0E75">
      <w:pPr>
        <w:spacing w:line="360" w:lineRule="auto"/>
        <w:jc w:val="both"/>
        <w:rPr>
          <w:rFonts w:ascii="Arial" w:hAnsi="Arial" w:cs="Arial"/>
          <w:sz w:val="24"/>
          <w:szCs w:val="24"/>
        </w:rPr>
      </w:pPr>
      <w:r w:rsidRPr="00C61A58">
        <w:rPr>
          <w:rFonts w:ascii="Arial" w:hAnsi="Arial" w:cs="Arial"/>
          <w:sz w:val="24"/>
          <w:szCs w:val="24"/>
        </w:rPr>
        <w:t xml:space="preserve">De conformidad con lo establecido </w:t>
      </w:r>
      <w:r>
        <w:rPr>
          <w:rFonts w:ascii="Arial" w:hAnsi="Arial" w:cs="Arial"/>
          <w:sz w:val="24"/>
          <w:szCs w:val="24"/>
        </w:rPr>
        <w:t xml:space="preserve">en </w:t>
      </w:r>
      <w:r w:rsidRPr="00C61A58">
        <w:rPr>
          <w:rFonts w:ascii="Arial" w:hAnsi="Arial" w:cs="Arial"/>
          <w:sz w:val="24"/>
          <w:szCs w:val="24"/>
        </w:rPr>
        <w:t xml:space="preserve">el artículo </w:t>
      </w:r>
      <w:r>
        <w:rPr>
          <w:rFonts w:ascii="Arial" w:hAnsi="Arial" w:cs="Arial"/>
          <w:sz w:val="24"/>
          <w:szCs w:val="24"/>
        </w:rPr>
        <w:t>133</w:t>
      </w:r>
      <w:r w:rsidRPr="00C61A58">
        <w:rPr>
          <w:rFonts w:ascii="Arial" w:hAnsi="Arial" w:cs="Arial"/>
          <w:sz w:val="24"/>
          <w:szCs w:val="24"/>
        </w:rPr>
        <w:t xml:space="preserve">, fracción </w:t>
      </w:r>
      <w:r>
        <w:rPr>
          <w:rFonts w:ascii="Arial" w:hAnsi="Arial" w:cs="Arial"/>
          <w:sz w:val="24"/>
          <w:szCs w:val="24"/>
        </w:rPr>
        <w:t>IX,</w:t>
      </w:r>
      <w:r w:rsidRPr="00C61A58">
        <w:rPr>
          <w:rFonts w:ascii="Arial" w:hAnsi="Arial" w:cs="Arial"/>
          <w:sz w:val="24"/>
          <w:szCs w:val="24"/>
        </w:rPr>
        <w:t xml:space="preserve"> de la </w:t>
      </w:r>
      <w:r>
        <w:rPr>
          <w:rFonts w:ascii="Arial" w:hAnsi="Arial" w:cs="Arial"/>
          <w:sz w:val="24"/>
          <w:szCs w:val="24"/>
        </w:rPr>
        <w:t>Ley de Transparencia, Acceso a la Información Pública y Rendición de Cuentas de la Ciudad de México</w:t>
      </w:r>
      <w:r w:rsidRPr="00C61A58">
        <w:rPr>
          <w:rFonts w:ascii="Arial" w:hAnsi="Arial" w:cs="Arial"/>
          <w:sz w:val="24"/>
          <w:szCs w:val="24"/>
        </w:rPr>
        <w:t>,</w:t>
      </w:r>
      <w:r w:rsidRPr="00523F18">
        <w:rPr>
          <w:rFonts w:ascii="Arial" w:hAnsi="Arial" w:cs="Arial"/>
          <w:sz w:val="24"/>
          <w:szCs w:val="24"/>
        </w:rPr>
        <w:t xml:space="preserve"> en relación a </w:t>
      </w:r>
      <w:r w:rsidRPr="00C61A58">
        <w:rPr>
          <w:rFonts w:ascii="Arial" w:hAnsi="Arial" w:cs="Arial"/>
          <w:color w:val="000000"/>
          <w:sz w:val="24"/>
          <w:szCs w:val="24"/>
          <w:lang w:val="es-ES"/>
        </w:rPr>
        <w:t>las acciones de promoción de la cultura de transparencia</w:t>
      </w:r>
      <w:r w:rsidRPr="00523F18">
        <w:rPr>
          <w:rFonts w:ascii="Arial" w:hAnsi="Arial" w:cs="Arial"/>
          <w:color w:val="000000"/>
          <w:sz w:val="24"/>
          <w:szCs w:val="24"/>
          <w:lang w:val="es-ES"/>
        </w:rPr>
        <w:t xml:space="preserve"> </w:t>
      </w:r>
      <w:r>
        <w:rPr>
          <w:rFonts w:ascii="Arial" w:hAnsi="Arial" w:cs="Arial"/>
          <w:color w:val="000000"/>
          <w:sz w:val="24"/>
          <w:szCs w:val="24"/>
          <w:lang w:val="es-ES"/>
        </w:rPr>
        <w:t xml:space="preserve">que realiza </w:t>
      </w:r>
      <w:r w:rsidRPr="00523F18">
        <w:rPr>
          <w:rFonts w:ascii="Arial" w:hAnsi="Arial" w:cs="Arial"/>
          <w:sz w:val="24"/>
          <w:szCs w:val="24"/>
        </w:rPr>
        <w:t xml:space="preserve">esta </w:t>
      </w:r>
      <w:r w:rsidRPr="008B45AE">
        <w:rPr>
          <w:rFonts w:ascii="Arial" w:hAnsi="Arial" w:cs="Arial"/>
          <w:b/>
          <w:sz w:val="24"/>
          <w:szCs w:val="24"/>
        </w:rPr>
        <w:t>Dirección de Vinculación con la Sociedad</w:t>
      </w:r>
      <w:r w:rsidRPr="00523F18">
        <w:rPr>
          <w:rFonts w:ascii="Arial" w:hAnsi="Arial" w:cs="Arial"/>
          <w:sz w:val="24"/>
          <w:szCs w:val="24"/>
        </w:rPr>
        <w:t>,</w:t>
      </w:r>
      <w:r>
        <w:rPr>
          <w:rFonts w:ascii="Arial" w:hAnsi="Arial" w:cs="Arial"/>
          <w:sz w:val="24"/>
          <w:szCs w:val="24"/>
        </w:rPr>
        <w:t xml:space="preserve"> se </w:t>
      </w:r>
      <w:r>
        <w:rPr>
          <w:rFonts w:ascii="Arial" w:hAnsi="Arial" w:cs="Arial"/>
          <w:color w:val="000000"/>
          <w:sz w:val="24"/>
          <w:szCs w:val="24"/>
          <w:lang w:val="es-ES"/>
        </w:rPr>
        <w:t xml:space="preserve">informa </w:t>
      </w:r>
      <w:r w:rsidRPr="00523F18">
        <w:rPr>
          <w:rFonts w:ascii="Arial" w:hAnsi="Arial" w:cs="Arial"/>
          <w:color w:val="000000"/>
          <w:sz w:val="24"/>
          <w:szCs w:val="24"/>
          <w:lang w:val="es-ES"/>
        </w:rPr>
        <w:t>lo siguiente:</w:t>
      </w:r>
    </w:p>
    <w:p w:rsidR="00C12BFB" w:rsidRDefault="00C12BFB" w:rsidP="00C12BFB">
      <w:pPr>
        <w:spacing w:line="360" w:lineRule="auto"/>
        <w:ind w:left="1416" w:firstLine="708"/>
        <w:jc w:val="both"/>
        <w:rPr>
          <w:rFonts w:ascii="Arial" w:hAnsi="Arial" w:cs="Arial"/>
          <w:sz w:val="24"/>
          <w:szCs w:val="24"/>
        </w:rPr>
      </w:pPr>
    </w:p>
    <w:p w:rsidR="00171040" w:rsidRPr="00C61A58" w:rsidRDefault="00C61A58" w:rsidP="00C12BFB">
      <w:pPr>
        <w:spacing w:line="360" w:lineRule="auto"/>
        <w:ind w:left="1416" w:firstLine="708"/>
        <w:jc w:val="both"/>
        <w:rPr>
          <w:rFonts w:ascii="Arial" w:hAnsi="Arial" w:cs="Arial"/>
          <w:sz w:val="24"/>
          <w:szCs w:val="24"/>
        </w:rPr>
      </w:pPr>
      <w:r w:rsidRPr="00523F18">
        <w:rPr>
          <w:rFonts w:ascii="Arial" w:hAnsi="Arial" w:cs="Arial"/>
          <w:sz w:val="24"/>
          <w:szCs w:val="24"/>
        </w:rPr>
        <w:t>“</w:t>
      </w:r>
      <w:r w:rsidR="00FA675C">
        <w:rPr>
          <w:rFonts w:ascii="Arial" w:hAnsi="Arial" w:cs="Arial"/>
          <w:sz w:val="24"/>
          <w:szCs w:val="24"/>
        </w:rPr>
        <w:t>Redes Ciudadanas</w:t>
      </w:r>
      <w:r w:rsidR="00C12BFB">
        <w:rPr>
          <w:rFonts w:ascii="Arial" w:hAnsi="Arial" w:cs="Arial"/>
          <w:sz w:val="24"/>
          <w:szCs w:val="24"/>
        </w:rPr>
        <w:t xml:space="preserve"> por la Transparencia</w:t>
      </w:r>
      <w:r>
        <w:rPr>
          <w:rFonts w:ascii="Arial" w:hAnsi="Arial" w:cs="Arial"/>
          <w:color w:val="000000"/>
          <w:sz w:val="24"/>
          <w:szCs w:val="24"/>
          <w:lang w:val="es-ES"/>
        </w:rPr>
        <w:t>”</w:t>
      </w:r>
    </w:p>
    <w:p w:rsidR="00961381" w:rsidRDefault="00961381" w:rsidP="00C61A58">
      <w:pPr>
        <w:spacing w:line="360" w:lineRule="auto"/>
        <w:rPr>
          <w:rFonts w:ascii="Arial" w:hAnsi="Arial" w:cs="Arial"/>
          <w:bCs/>
          <w:sz w:val="24"/>
          <w:szCs w:val="24"/>
        </w:rPr>
      </w:pPr>
      <w:r w:rsidRPr="00C61A58">
        <w:rPr>
          <w:rFonts w:ascii="Arial" w:hAnsi="Arial" w:cs="Arial"/>
          <w:bCs/>
          <w:sz w:val="24"/>
          <w:szCs w:val="24"/>
        </w:rPr>
        <w:t>Objetivo general:</w:t>
      </w:r>
    </w:p>
    <w:p w:rsidR="00346A73" w:rsidRDefault="00FA675C" w:rsidP="00C61A58">
      <w:pPr>
        <w:spacing w:line="360" w:lineRule="auto"/>
        <w:jc w:val="both"/>
        <w:rPr>
          <w:rFonts w:ascii="Arial" w:hAnsi="Arial" w:cs="Arial"/>
          <w:sz w:val="24"/>
          <w:szCs w:val="24"/>
        </w:rPr>
      </w:pPr>
      <w:r w:rsidRPr="00FA675C">
        <w:rPr>
          <w:rFonts w:ascii="Arial" w:hAnsi="Arial" w:cs="Arial"/>
          <w:sz w:val="24"/>
          <w:szCs w:val="24"/>
        </w:rPr>
        <w:t xml:space="preserve">Fortalecer con acciones focalizadas </w:t>
      </w:r>
      <w:r>
        <w:rPr>
          <w:rFonts w:ascii="Arial" w:hAnsi="Arial" w:cs="Arial"/>
          <w:sz w:val="24"/>
          <w:szCs w:val="24"/>
        </w:rPr>
        <w:t xml:space="preserve">en el marco de los </w:t>
      </w:r>
      <w:r w:rsidRPr="00FA675C">
        <w:rPr>
          <w:rFonts w:ascii="Arial" w:hAnsi="Arial" w:cs="Arial"/>
          <w:sz w:val="24"/>
          <w:szCs w:val="24"/>
        </w:rPr>
        <w:t>Derechos de Acceso a la Información Pública y Protección de Datos Personales, la realización de actividades colectivas en el ámbito territorial y académico</w:t>
      </w:r>
      <w:r>
        <w:rPr>
          <w:rFonts w:ascii="Arial" w:hAnsi="Arial" w:cs="Arial"/>
          <w:sz w:val="24"/>
          <w:szCs w:val="24"/>
        </w:rPr>
        <w:t>.</w:t>
      </w:r>
    </w:p>
    <w:p w:rsidR="00FA675C" w:rsidRDefault="00FA675C" w:rsidP="00C61A58">
      <w:pPr>
        <w:spacing w:line="360" w:lineRule="auto"/>
        <w:jc w:val="both"/>
        <w:rPr>
          <w:rFonts w:ascii="Arial" w:hAnsi="Arial" w:cs="Arial"/>
          <w:sz w:val="24"/>
          <w:szCs w:val="24"/>
          <w:lang w:val="es-ES"/>
        </w:rPr>
      </w:pPr>
    </w:p>
    <w:p w:rsidR="00541233" w:rsidRPr="00541233" w:rsidRDefault="00541233" w:rsidP="00541233">
      <w:pPr>
        <w:spacing w:line="360" w:lineRule="auto"/>
        <w:jc w:val="both"/>
        <w:rPr>
          <w:rFonts w:ascii="Arial" w:hAnsi="Arial" w:cs="Arial"/>
          <w:sz w:val="24"/>
          <w:szCs w:val="24"/>
          <w:lang w:val="es-ES"/>
        </w:rPr>
      </w:pPr>
      <w:r w:rsidRPr="00541233">
        <w:rPr>
          <w:rFonts w:ascii="Arial" w:hAnsi="Arial" w:cs="Arial"/>
          <w:sz w:val="24"/>
          <w:szCs w:val="24"/>
          <w:lang w:val="es-ES"/>
        </w:rPr>
        <w:t>Durante el periodo octubre-diciembre 2016, se ha impulsado el trabajo con redes ciudadanas, a través de la capacitación de sus integrantes, la dotación de material de difusión y la asesoría para la mejor realización de solicitudes de acceso a la información pública y/o para el ejercicio de los derechos ARCO.</w:t>
      </w:r>
    </w:p>
    <w:p w:rsidR="00541233" w:rsidRPr="00541233" w:rsidRDefault="00541233" w:rsidP="00541233">
      <w:pPr>
        <w:spacing w:line="360" w:lineRule="auto"/>
        <w:jc w:val="both"/>
        <w:rPr>
          <w:rFonts w:ascii="Arial" w:hAnsi="Arial" w:cs="Arial"/>
          <w:sz w:val="24"/>
          <w:szCs w:val="24"/>
          <w:lang w:val="es-ES"/>
        </w:rPr>
      </w:pPr>
    </w:p>
    <w:p w:rsidR="003D5AB9" w:rsidRDefault="00541233" w:rsidP="00541233">
      <w:pPr>
        <w:spacing w:line="360" w:lineRule="auto"/>
        <w:jc w:val="both"/>
        <w:rPr>
          <w:rFonts w:ascii="Arial" w:hAnsi="Arial" w:cs="Arial"/>
          <w:sz w:val="24"/>
          <w:szCs w:val="24"/>
          <w:lang w:val="es-ES"/>
        </w:rPr>
      </w:pPr>
      <w:r w:rsidRPr="00541233">
        <w:rPr>
          <w:rFonts w:ascii="Arial" w:hAnsi="Arial" w:cs="Arial"/>
          <w:sz w:val="24"/>
          <w:szCs w:val="24"/>
          <w:lang w:val="es-ES"/>
        </w:rPr>
        <w:t>Con el trabajo anteriormente descrito, durante el 2016, se orientó, capacitó o brindó material de difusión a 17 redes ciudadanas, las que cuentan con un total de 422 integrantes beneficiarios, que trabajan en 16 Delegaciones Políticas, tales como Azcapotzalco, Cuauhtémoc, Tlalpan, Iztapalapa, Magdalena Contreras, Miguel Hidalgo, Álvaro Obregón, Tláhuac, y GAM</w:t>
      </w:r>
    </w:p>
    <w:p w:rsidR="009E0E75" w:rsidRDefault="009E0E75" w:rsidP="00C61A58">
      <w:pPr>
        <w:spacing w:line="360" w:lineRule="auto"/>
        <w:jc w:val="both"/>
        <w:rPr>
          <w:rFonts w:ascii="Arial" w:hAnsi="Arial" w:cs="Arial"/>
          <w:sz w:val="24"/>
          <w:szCs w:val="24"/>
          <w:lang w:val="es-ES"/>
        </w:rPr>
      </w:pPr>
    </w:p>
    <w:p w:rsidR="00541233" w:rsidRDefault="00541233" w:rsidP="00C61A58">
      <w:pPr>
        <w:spacing w:line="360" w:lineRule="auto"/>
        <w:jc w:val="both"/>
        <w:rPr>
          <w:rFonts w:ascii="Arial" w:hAnsi="Arial" w:cs="Arial"/>
          <w:sz w:val="24"/>
          <w:szCs w:val="24"/>
          <w:lang w:val="es-ES"/>
        </w:rPr>
      </w:pPr>
    </w:p>
    <w:p w:rsidR="00541233" w:rsidRDefault="00541233" w:rsidP="00C61A58">
      <w:pPr>
        <w:spacing w:line="360" w:lineRule="auto"/>
        <w:jc w:val="both"/>
        <w:rPr>
          <w:rFonts w:ascii="Arial" w:hAnsi="Arial" w:cs="Arial"/>
          <w:sz w:val="24"/>
          <w:szCs w:val="24"/>
          <w:lang w:val="es-ES"/>
        </w:rPr>
      </w:pPr>
      <w:bookmarkStart w:id="0" w:name="_GoBack"/>
      <w:bookmarkEnd w:id="0"/>
    </w:p>
    <w:p w:rsidR="00541233" w:rsidRDefault="00541233" w:rsidP="00C61A58">
      <w:pPr>
        <w:spacing w:line="360" w:lineRule="auto"/>
        <w:jc w:val="both"/>
        <w:rPr>
          <w:rFonts w:ascii="Arial" w:hAnsi="Arial" w:cs="Arial"/>
          <w:sz w:val="24"/>
          <w:szCs w:val="24"/>
          <w:lang w:val="es-ES"/>
        </w:rPr>
      </w:pPr>
    </w:p>
    <w:tbl>
      <w:tblPr>
        <w:tblpPr w:leftFromText="141" w:rightFromText="141" w:vertAnchor="text" w:tblpXSpec="center" w:tblpY="1"/>
        <w:tblOverlap w:val="neve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19"/>
        <w:gridCol w:w="3707"/>
      </w:tblGrid>
      <w:tr w:rsidR="00541233" w:rsidRPr="00C41C78" w:rsidTr="00323ABB">
        <w:trPr>
          <w:trHeight w:val="300"/>
        </w:trPr>
        <w:tc>
          <w:tcPr>
            <w:tcW w:w="4319" w:type="dxa"/>
            <w:vMerge w:val="restart"/>
            <w:shd w:val="clear" w:color="000000" w:fill="33CCCC"/>
            <w:vAlign w:val="center"/>
            <w:hideMark/>
          </w:tcPr>
          <w:p w:rsidR="00541233" w:rsidRPr="00C41C78" w:rsidRDefault="00541233" w:rsidP="00323ABB">
            <w:pPr>
              <w:spacing w:after="0" w:line="240" w:lineRule="auto"/>
              <w:jc w:val="center"/>
              <w:rPr>
                <w:rFonts w:ascii="Calibri" w:eastAsia="Times New Roman" w:hAnsi="Calibri" w:cs="Times New Roman"/>
                <w:b/>
                <w:bCs/>
                <w:color w:val="4A442A"/>
                <w:sz w:val="20"/>
                <w:szCs w:val="20"/>
                <w:lang w:eastAsia="es-MX"/>
              </w:rPr>
            </w:pPr>
            <w:r>
              <w:rPr>
                <w:rFonts w:ascii="Calibri" w:eastAsia="Times New Roman" w:hAnsi="Calibri" w:cs="Times New Roman"/>
                <w:b/>
                <w:bCs/>
                <w:color w:val="4A442A"/>
                <w:sz w:val="20"/>
                <w:szCs w:val="20"/>
                <w:lang w:eastAsia="es-MX"/>
              </w:rPr>
              <w:lastRenderedPageBreak/>
              <w:t>RED</w:t>
            </w:r>
          </w:p>
        </w:tc>
        <w:tc>
          <w:tcPr>
            <w:tcW w:w="3707" w:type="dxa"/>
            <w:vMerge w:val="restart"/>
            <w:shd w:val="clear" w:color="000000" w:fill="33CCCC"/>
            <w:vAlign w:val="center"/>
            <w:hideMark/>
          </w:tcPr>
          <w:p w:rsidR="00541233" w:rsidRPr="00C41C78" w:rsidRDefault="00541233" w:rsidP="00323ABB">
            <w:pPr>
              <w:spacing w:after="0" w:line="240" w:lineRule="auto"/>
              <w:jc w:val="center"/>
              <w:rPr>
                <w:rFonts w:ascii="Calibri" w:eastAsia="Times New Roman" w:hAnsi="Calibri" w:cs="Times New Roman"/>
                <w:b/>
                <w:bCs/>
                <w:color w:val="4A442A"/>
                <w:sz w:val="20"/>
                <w:szCs w:val="20"/>
                <w:lang w:eastAsia="es-MX"/>
              </w:rPr>
            </w:pPr>
            <w:r w:rsidRPr="00C41C78">
              <w:rPr>
                <w:rFonts w:ascii="Calibri" w:eastAsia="Times New Roman" w:hAnsi="Calibri" w:cs="Times New Roman"/>
                <w:b/>
                <w:bCs/>
                <w:color w:val="4A442A"/>
                <w:sz w:val="20"/>
                <w:szCs w:val="20"/>
                <w:lang w:eastAsia="es-MX"/>
              </w:rPr>
              <w:t>INDICADOR (</w:t>
            </w:r>
            <w:r>
              <w:rPr>
                <w:rFonts w:ascii="Calibri" w:eastAsia="Times New Roman" w:hAnsi="Calibri" w:cs="Times New Roman"/>
                <w:b/>
                <w:bCs/>
                <w:color w:val="4A442A"/>
                <w:sz w:val="20"/>
                <w:szCs w:val="20"/>
                <w:lang w:eastAsia="es-MX"/>
              </w:rPr>
              <w:t>Integrantes de la Asociación</w:t>
            </w:r>
            <w:r w:rsidRPr="00C41C78">
              <w:rPr>
                <w:rFonts w:ascii="Calibri" w:eastAsia="Times New Roman" w:hAnsi="Calibri" w:cs="Times New Roman"/>
                <w:b/>
                <w:bCs/>
                <w:color w:val="4A442A"/>
                <w:sz w:val="20"/>
                <w:szCs w:val="20"/>
                <w:lang w:eastAsia="es-MX"/>
              </w:rPr>
              <w:t>)</w:t>
            </w:r>
          </w:p>
        </w:tc>
      </w:tr>
      <w:tr w:rsidR="00541233" w:rsidRPr="00C41C78" w:rsidTr="00323ABB">
        <w:trPr>
          <w:trHeight w:val="300"/>
        </w:trPr>
        <w:tc>
          <w:tcPr>
            <w:tcW w:w="4319" w:type="dxa"/>
            <w:vMerge/>
            <w:hideMark/>
          </w:tcPr>
          <w:p w:rsidR="00541233" w:rsidRPr="00C41C78" w:rsidRDefault="00541233" w:rsidP="00323ABB">
            <w:pPr>
              <w:spacing w:after="0" w:line="240" w:lineRule="auto"/>
              <w:rPr>
                <w:rFonts w:ascii="Calibri" w:eastAsia="Times New Roman" w:hAnsi="Calibri" w:cs="Times New Roman"/>
                <w:b/>
                <w:bCs/>
                <w:color w:val="4A442A"/>
                <w:sz w:val="20"/>
                <w:szCs w:val="20"/>
                <w:lang w:eastAsia="es-MX"/>
              </w:rPr>
            </w:pPr>
          </w:p>
        </w:tc>
        <w:tc>
          <w:tcPr>
            <w:tcW w:w="3707" w:type="dxa"/>
            <w:vMerge/>
            <w:hideMark/>
          </w:tcPr>
          <w:p w:rsidR="00541233" w:rsidRPr="00C41C78" w:rsidRDefault="00541233" w:rsidP="00323ABB">
            <w:pPr>
              <w:spacing w:after="0" w:line="240" w:lineRule="auto"/>
              <w:rPr>
                <w:rFonts w:ascii="Calibri" w:eastAsia="Times New Roman" w:hAnsi="Calibri" w:cs="Times New Roman"/>
                <w:b/>
                <w:bCs/>
                <w:color w:val="4A442A"/>
                <w:sz w:val="20"/>
                <w:szCs w:val="20"/>
                <w:lang w:eastAsia="es-MX"/>
              </w:rPr>
            </w:pPr>
          </w:p>
        </w:tc>
      </w:tr>
      <w:tr w:rsidR="00541233" w:rsidRPr="00C41C78" w:rsidTr="00323ABB">
        <w:trPr>
          <w:trHeight w:val="300"/>
        </w:trPr>
        <w:tc>
          <w:tcPr>
            <w:tcW w:w="4319" w:type="dxa"/>
            <w:vMerge/>
            <w:hideMark/>
          </w:tcPr>
          <w:p w:rsidR="00541233" w:rsidRPr="00C41C78" w:rsidRDefault="00541233" w:rsidP="00323ABB">
            <w:pPr>
              <w:spacing w:after="0" w:line="240" w:lineRule="auto"/>
              <w:rPr>
                <w:rFonts w:ascii="Calibri" w:eastAsia="Times New Roman" w:hAnsi="Calibri" w:cs="Times New Roman"/>
                <w:b/>
                <w:bCs/>
                <w:color w:val="4A442A"/>
                <w:sz w:val="20"/>
                <w:szCs w:val="20"/>
                <w:lang w:eastAsia="es-MX"/>
              </w:rPr>
            </w:pPr>
          </w:p>
        </w:tc>
        <w:tc>
          <w:tcPr>
            <w:tcW w:w="3707" w:type="dxa"/>
            <w:vMerge/>
            <w:hideMark/>
          </w:tcPr>
          <w:p w:rsidR="00541233" w:rsidRPr="00C41C78" w:rsidRDefault="00541233" w:rsidP="00323ABB">
            <w:pPr>
              <w:spacing w:after="0" w:line="240" w:lineRule="auto"/>
              <w:rPr>
                <w:rFonts w:ascii="Calibri" w:eastAsia="Times New Roman" w:hAnsi="Calibri" w:cs="Times New Roman"/>
                <w:b/>
                <w:bCs/>
                <w:color w:val="4A442A"/>
                <w:sz w:val="20"/>
                <w:szCs w:val="20"/>
                <w:lang w:eastAsia="es-MX"/>
              </w:rPr>
            </w:pPr>
          </w:p>
        </w:tc>
      </w:tr>
      <w:tr w:rsidR="00541233" w:rsidRPr="00C41C78" w:rsidTr="00323ABB">
        <w:trPr>
          <w:trHeight w:val="244"/>
        </w:trPr>
        <w:tc>
          <w:tcPr>
            <w:tcW w:w="4319" w:type="dxa"/>
            <w:vMerge/>
            <w:hideMark/>
          </w:tcPr>
          <w:p w:rsidR="00541233" w:rsidRPr="00C41C78" w:rsidRDefault="00541233" w:rsidP="00323ABB">
            <w:pPr>
              <w:spacing w:after="0" w:line="240" w:lineRule="auto"/>
              <w:rPr>
                <w:rFonts w:ascii="Calibri" w:eastAsia="Times New Roman" w:hAnsi="Calibri" w:cs="Times New Roman"/>
                <w:b/>
                <w:bCs/>
                <w:color w:val="4A442A"/>
                <w:sz w:val="20"/>
                <w:szCs w:val="20"/>
                <w:lang w:eastAsia="es-MX"/>
              </w:rPr>
            </w:pPr>
          </w:p>
        </w:tc>
        <w:tc>
          <w:tcPr>
            <w:tcW w:w="3707" w:type="dxa"/>
            <w:vMerge/>
            <w:hideMark/>
          </w:tcPr>
          <w:p w:rsidR="00541233" w:rsidRPr="00C41C78" w:rsidRDefault="00541233" w:rsidP="00323ABB">
            <w:pPr>
              <w:spacing w:after="0" w:line="240" w:lineRule="auto"/>
              <w:rPr>
                <w:rFonts w:ascii="Calibri" w:eastAsia="Times New Roman" w:hAnsi="Calibri" w:cs="Times New Roman"/>
                <w:b/>
                <w:bCs/>
                <w:color w:val="4A442A"/>
                <w:sz w:val="20"/>
                <w:szCs w:val="20"/>
                <w:lang w:eastAsia="es-MX"/>
              </w:rPr>
            </w:pPr>
          </w:p>
        </w:tc>
      </w:tr>
      <w:tr w:rsidR="00541233" w:rsidRPr="00C41C78" w:rsidTr="00323ABB">
        <w:trPr>
          <w:trHeight w:val="221"/>
        </w:trPr>
        <w:tc>
          <w:tcPr>
            <w:tcW w:w="4319" w:type="dxa"/>
            <w:shd w:val="clear" w:color="auto" w:fill="auto"/>
          </w:tcPr>
          <w:p w:rsidR="00541233" w:rsidRPr="00B05FCA" w:rsidRDefault="00541233" w:rsidP="00323ABB">
            <w:pPr>
              <w:spacing w:after="0" w:line="240" w:lineRule="auto"/>
              <w:rPr>
                <w:rFonts w:ascii="Calibri" w:eastAsia="Times New Roman" w:hAnsi="Calibri" w:cs="Times New Roman"/>
                <w:lang w:eastAsia="es-MX"/>
              </w:rPr>
            </w:pPr>
            <w:r>
              <w:rPr>
                <w:rFonts w:ascii="Calibri" w:eastAsia="Times New Roman" w:hAnsi="Calibri" w:cs="Times New Roman"/>
                <w:lang w:eastAsia="es-MX"/>
              </w:rPr>
              <w:t>Consejo de Pueblos y Barrios de Azcapotzalco</w:t>
            </w:r>
          </w:p>
        </w:tc>
        <w:tc>
          <w:tcPr>
            <w:tcW w:w="3707" w:type="dxa"/>
            <w:shd w:val="clear" w:color="000000" w:fill="FFFFFF"/>
          </w:tcPr>
          <w:p w:rsidR="00541233" w:rsidRPr="00CB7039" w:rsidRDefault="00541233" w:rsidP="00323ABB">
            <w:pPr>
              <w:spacing w:after="0" w:line="240" w:lineRule="auto"/>
              <w:jc w:val="center"/>
              <w:rPr>
                <w:rFonts w:ascii="Calibri" w:eastAsia="Times New Roman" w:hAnsi="Calibri" w:cs="Times New Roman"/>
                <w:color w:val="000000"/>
                <w:sz w:val="18"/>
                <w:szCs w:val="18"/>
                <w:lang w:eastAsia="es-MX"/>
              </w:rPr>
            </w:pPr>
            <w:r w:rsidRPr="00CB7039">
              <w:rPr>
                <w:rFonts w:ascii="Calibri" w:eastAsia="Times New Roman" w:hAnsi="Calibri" w:cs="Times New Roman"/>
                <w:color w:val="000000"/>
                <w:sz w:val="18"/>
                <w:szCs w:val="18"/>
                <w:lang w:eastAsia="es-MX"/>
              </w:rPr>
              <w:t>23</w:t>
            </w:r>
          </w:p>
        </w:tc>
      </w:tr>
      <w:tr w:rsidR="00541233" w:rsidRPr="00C41C78" w:rsidTr="00323ABB">
        <w:trPr>
          <w:trHeight w:val="221"/>
        </w:trPr>
        <w:tc>
          <w:tcPr>
            <w:tcW w:w="4319" w:type="dxa"/>
            <w:shd w:val="clear" w:color="auto" w:fill="auto"/>
          </w:tcPr>
          <w:p w:rsidR="00541233" w:rsidRPr="00B05FCA" w:rsidRDefault="00541233" w:rsidP="00323ABB">
            <w:pPr>
              <w:spacing w:after="0" w:line="240" w:lineRule="auto"/>
              <w:rPr>
                <w:rFonts w:ascii="Calibri" w:eastAsia="Times New Roman" w:hAnsi="Calibri" w:cs="Times New Roman"/>
                <w:lang w:eastAsia="es-MX"/>
              </w:rPr>
            </w:pPr>
            <w:r w:rsidRPr="00B05FCA">
              <w:rPr>
                <w:rFonts w:ascii="Calibri" w:eastAsia="Times New Roman" w:hAnsi="Calibri" w:cs="Times New Roman"/>
                <w:lang w:eastAsia="es-MX"/>
              </w:rPr>
              <w:t>INCIDET</w:t>
            </w:r>
          </w:p>
        </w:tc>
        <w:tc>
          <w:tcPr>
            <w:tcW w:w="3707" w:type="dxa"/>
            <w:shd w:val="clear" w:color="000000" w:fill="FFFFFF"/>
          </w:tcPr>
          <w:p w:rsidR="00541233" w:rsidRPr="00CB7039" w:rsidRDefault="00541233" w:rsidP="00323ABB">
            <w:pPr>
              <w:spacing w:after="0" w:line="240" w:lineRule="auto"/>
              <w:jc w:val="center"/>
              <w:rPr>
                <w:rFonts w:ascii="Calibri" w:eastAsia="Times New Roman" w:hAnsi="Calibri" w:cs="Times New Roman"/>
                <w:color w:val="000000"/>
                <w:sz w:val="18"/>
                <w:szCs w:val="18"/>
                <w:lang w:eastAsia="es-MX"/>
              </w:rPr>
            </w:pPr>
            <w:r w:rsidRPr="00CB7039">
              <w:rPr>
                <w:rFonts w:ascii="Calibri" w:eastAsia="Times New Roman" w:hAnsi="Calibri" w:cs="Times New Roman"/>
                <w:color w:val="000000"/>
                <w:sz w:val="18"/>
                <w:szCs w:val="18"/>
                <w:lang w:eastAsia="es-MX"/>
              </w:rPr>
              <w:t>19</w:t>
            </w:r>
          </w:p>
        </w:tc>
      </w:tr>
      <w:tr w:rsidR="00541233" w:rsidRPr="00C41C78" w:rsidTr="00323ABB">
        <w:trPr>
          <w:trHeight w:val="221"/>
        </w:trPr>
        <w:tc>
          <w:tcPr>
            <w:tcW w:w="4319" w:type="dxa"/>
            <w:shd w:val="clear" w:color="auto" w:fill="auto"/>
          </w:tcPr>
          <w:p w:rsidR="00541233" w:rsidRPr="00B05FCA" w:rsidRDefault="00541233" w:rsidP="00323ABB">
            <w:pPr>
              <w:spacing w:after="0" w:line="240" w:lineRule="auto"/>
              <w:rPr>
                <w:rFonts w:ascii="Calibri" w:eastAsia="Times New Roman" w:hAnsi="Calibri" w:cs="Times New Roman"/>
                <w:bCs/>
                <w:lang w:eastAsia="es-MX"/>
              </w:rPr>
            </w:pPr>
            <w:r w:rsidRPr="00B05FCA">
              <w:rPr>
                <w:rFonts w:ascii="Calibri" w:eastAsia="Times New Roman" w:hAnsi="Calibri" w:cs="Times New Roman"/>
                <w:bCs/>
                <w:lang w:eastAsia="es-MX"/>
              </w:rPr>
              <w:t>EELTIK</w:t>
            </w:r>
          </w:p>
        </w:tc>
        <w:tc>
          <w:tcPr>
            <w:tcW w:w="3707" w:type="dxa"/>
            <w:shd w:val="clear" w:color="000000" w:fill="FFFFFF"/>
          </w:tcPr>
          <w:p w:rsidR="00541233" w:rsidRPr="00CB7039" w:rsidRDefault="00541233" w:rsidP="00323ABB">
            <w:pPr>
              <w:spacing w:after="0" w:line="240" w:lineRule="auto"/>
              <w:jc w:val="center"/>
              <w:rPr>
                <w:rFonts w:ascii="Calibri" w:eastAsia="Times New Roman" w:hAnsi="Calibri" w:cs="Times New Roman"/>
                <w:bCs/>
                <w:color w:val="4A442A"/>
                <w:lang w:eastAsia="es-MX"/>
              </w:rPr>
            </w:pPr>
            <w:r w:rsidRPr="00CB7039">
              <w:rPr>
                <w:rFonts w:ascii="Calibri" w:eastAsia="Times New Roman" w:hAnsi="Calibri" w:cs="Times New Roman"/>
                <w:bCs/>
                <w:color w:val="4A442A"/>
                <w:lang w:eastAsia="es-MX"/>
              </w:rPr>
              <w:t>5</w:t>
            </w:r>
          </w:p>
        </w:tc>
      </w:tr>
      <w:tr w:rsidR="00541233" w:rsidRPr="00C41C78" w:rsidTr="00323ABB">
        <w:trPr>
          <w:trHeight w:val="221"/>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Módulo Distrito XXXVIII</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35</w:t>
            </w:r>
          </w:p>
        </w:tc>
      </w:tr>
      <w:tr w:rsidR="00541233" w:rsidRPr="00C41C78" w:rsidTr="00323ABB">
        <w:trPr>
          <w:trHeight w:val="221"/>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 xml:space="preserve">UH Santa Cruz </w:t>
            </w:r>
            <w:proofErr w:type="spellStart"/>
            <w:r>
              <w:rPr>
                <w:rFonts w:ascii="Calibri" w:hAnsi="Calibri"/>
                <w:color w:val="000000"/>
                <w:sz w:val="20"/>
                <w:szCs w:val="20"/>
              </w:rPr>
              <w:t>Meyehualco</w:t>
            </w:r>
            <w:proofErr w:type="spellEnd"/>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15</w:t>
            </w:r>
          </w:p>
        </w:tc>
      </w:tr>
      <w:tr w:rsidR="00541233" w:rsidRPr="00C41C78" w:rsidTr="00323ABB">
        <w:trPr>
          <w:trHeight w:val="221"/>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Tláhuac</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14</w:t>
            </w:r>
          </w:p>
        </w:tc>
      </w:tr>
      <w:tr w:rsidR="00541233" w:rsidRPr="00C41C78" w:rsidTr="00323ABB">
        <w:trPr>
          <w:trHeight w:val="221"/>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Aragón</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14</w:t>
            </w:r>
          </w:p>
        </w:tc>
      </w:tr>
      <w:tr w:rsidR="00541233" w:rsidRPr="00C41C78" w:rsidTr="00323ABB">
        <w:trPr>
          <w:trHeight w:val="221"/>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 xml:space="preserve">Módulo </w:t>
            </w:r>
            <w:proofErr w:type="spellStart"/>
            <w:r>
              <w:rPr>
                <w:rFonts w:ascii="Calibri" w:hAnsi="Calibri"/>
                <w:color w:val="000000"/>
                <w:sz w:val="20"/>
                <w:szCs w:val="20"/>
              </w:rPr>
              <w:t>Cazulco</w:t>
            </w:r>
            <w:proofErr w:type="spellEnd"/>
            <w:r>
              <w:rPr>
                <w:rFonts w:ascii="Calibri" w:hAnsi="Calibri"/>
                <w:color w:val="000000"/>
                <w:sz w:val="20"/>
                <w:szCs w:val="20"/>
              </w:rPr>
              <w:t>.</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10</w:t>
            </w:r>
          </w:p>
        </w:tc>
      </w:tr>
      <w:tr w:rsidR="00541233" w:rsidRPr="00C41C78" w:rsidTr="00323ABB">
        <w:trPr>
          <w:trHeight w:val="221"/>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Fundación Hogares</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12</w:t>
            </w:r>
          </w:p>
        </w:tc>
      </w:tr>
      <w:tr w:rsidR="00541233" w:rsidRPr="00C41C78" w:rsidTr="00323ABB">
        <w:trPr>
          <w:trHeight w:val="221"/>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Red Colaboradores Ciudadanos Cuauhtémoc</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125</w:t>
            </w:r>
          </w:p>
        </w:tc>
      </w:tr>
      <w:tr w:rsidR="00541233" w:rsidRPr="00C41C78" w:rsidTr="00323ABB">
        <w:trPr>
          <w:trHeight w:val="269"/>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Red Tlalpan</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15</w:t>
            </w:r>
          </w:p>
        </w:tc>
      </w:tr>
      <w:tr w:rsidR="00541233" w:rsidRPr="00C41C78" w:rsidTr="00323ABB">
        <w:trPr>
          <w:trHeight w:val="145"/>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Red Las Cuevitas</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10</w:t>
            </w:r>
          </w:p>
        </w:tc>
      </w:tr>
      <w:tr w:rsidR="00541233" w:rsidRPr="00C41C78" w:rsidTr="00323ABB">
        <w:trPr>
          <w:trHeight w:val="150"/>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Red Cañitas</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10</w:t>
            </w:r>
          </w:p>
        </w:tc>
      </w:tr>
      <w:tr w:rsidR="00541233" w:rsidRPr="00C41C78" w:rsidTr="00323ABB">
        <w:trPr>
          <w:trHeight w:val="150"/>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Red San Jerónimo</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30</w:t>
            </w:r>
          </w:p>
        </w:tc>
      </w:tr>
      <w:tr w:rsidR="00541233" w:rsidRPr="00C41C78" w:rsidTr="00323ABB">
        <w:trPr>
          <w:trHeight w:val="150"/>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Red Tepito</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29</w:t>
            </w:r>
          </w:p>
        </w:tc>
      </w:tr>
      <w:tr w:rsidR="00541233" w:rsidRPr="00C41C78" w:rsidTr="00323ABB">
        <w:trPr>
          <w:trHeight w:val="150"/>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Red Plaza Pimentel</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23</w:t>
            </w:r>
          </w:p>
        </w:tc>
      </w:tr>
      <w:tr w:rsidR="00541233" w:rsidRPr="00C41C78" w:rsidTr="00323ABB">
        <w:trPr>
          <w:trHeight w:val="150"/>
        </w:trPr>
        <w:tc>
          <w:tcPr>
            <w:tcW w:w="4319" w:type="dxa"/>
            <w:shd w:val="clear" w:color="auto" w:fill="auto"/>
          </w:tcPr>
          <w:p w:rsidR="00541233" w:rsidRDefault="00541233" w:rsidP="00323ABB">
            <w:pPr>
              <w:spacing w:after="0" w:line="240" w:lineRule="auto"/>
              <w:rPr>
                <w:rFonts w:ascii="Calibri" w:hAnsi="Calibri"/>
                <w:color w:val="000000"/>
                <w:sz w:val="20"/>
                <w:szCs w:val="20"/>
              </w:rPr>
            </w:pPr>
            <w:r>
              <w:rPr>
                <w:rFonts w:ascii="Calibri" w:hAnsi="Calibri"/>
                <w:color w:val="000000"/>
                <w:sz w:val="20"/>
                <w:szCs w:val="20"/>
              </w:rPr>
              <w:t>Red Defendamos la Ciudad</w:t>
            </w:r>
          </w:p>
        </w:tc>
        <w:tc>
          <w:tcPr>
            <w:tcW w:w="3707" w:type="dxa"/>
            <w:shd w:val="clear" w:color="000000" w:fill="FFFFFF"/>
            <w:vAlign w:val="bottom"/>
          </w:tcPr>
          <w:p w:rsidR="00541233" w:rsidRDefault="00541233" w:rsidP="00323ABB">
            <w:pPr>
              <w:spacing w:after="0" w:line="240" w:lineRule="auto"/>
              <w:jc w:val="center"/>
              <w:rPr>
                <w:rFonts w:ascii="Calibri" w:hAnsi="Calibri"/>
                <w:color w:val="000000"/>
              </w:rPr>
            </w:pPr>
            <w:r>
              <w:rPr>
                <w:rFonts w:ascii="Calibri" w:hAnsi="Calibri"/>
                <w:color w:val="000000"/>
              </w:rPr>
              <w:t>33</w:t>
            </w:r>
          </w:p>
        </w:tc>
      </w:tr>
      <w:tr w:rsidR="00541233" w:rsidRPr="00C41C78" w:rsidTr="00323ABB">
        <w:trPr>
          <w:trHeight w:val="300"/>
        </w:trPr>
        <w:tc>
          <w:tcPr>
            <w:tcW w:w="4319" w:type="dxa"/>
            <w:vMerge w:val="restart"/>
            <w:shd w:val="clear" w:color="000000" w:fill="33CCCC"/>
            <w:hideMark/>
          </w:tcPr>
          <w:p w:rsidR="00541233" w:rsidRPr="00C41C78" w:rsidRDefault="00541233" w:rsidP="00323ABB">
            <w:pPr>
              <w:spacing w:after="0" w:line="240" w:lineRule="auto"/>
              <w:rPr>
                <w:rFonts w:ascii="Calibri" w:eastAsia="Times New Roman" w:hAnsi="Calibri" w:cs="Times New Roman"/>
                <w:b/>
                <w:bCs/>
                <w:color w:val="4A442A"/>
                <w:lang w:eastAsia="es-MX"/>
              </w:rPr>
            </w:pPr>
            <w:r w:rsidRPr="00C41C78">
              <w:rPr>
                <w:rFonts w:ascii="Calibri" w:eastAsia="Times New Roman" w:hAnsi="Calibri" w:cs="Times New Roman"/>
                <w:color w:val="4A442A"/>
                <w:lang w:eastAsia="es-MX"/>
              </w:rPr>
              <w:t>TOTAL</w:t>
            </w:r>
          </w:p>
        </w:tc>
        <w:tc>
          <w:tcPr>
            <w:tcW w:w="3707" w:type="dxa"/>
            <w:vMerge w:val="restart"/>
            <w:shd w:val="clear" w:color="000000" w:fill="33CCCC"/>
            <w:hideMark/>
          </w:tcPr>
          <w:p w:rsidR="00541233" w:rsidRPr="00C41C78" w:rsidRDefault="00541233" w:rsidP="00323ABB">
            <w:pPr>
              <w:spacing w:after="0" w:line="240" w:lineRule="auto"/>
              <w:jc w:val="center"/>
              <w:rPr>
                <w:rFonts w:ascii="Calibri" w:eastAsia="Times New Roman" w:hAnsi="Calibri" w:cs="Times New Roman"/>
                <w:b/>
                <w:bCs/>
                <w:color w:val="4A442A"/>
                <w:lang w:eastAsia="es-MX"/>
              </w:rPr>
            </w:pPr>
            <w:r>
              <w:rPr>
                <w:rFonts w:ascii="Calibri" w:eastAsia="Times New Roman" w:hAnsi="Calibri" w:cs="Times New Roman"/>
                <w:b/>
                <w:bCs/>
                <w:color w:val="4A442A"/>
                <w:lang w:eastAsia="es-MX"/>
              </w:rPr>
              <w:t>422</w:t>
            </w:r>
          </w:p>
        </w:tc>
      </w:tr>
      <w:tr w:rsidR="00541233" w:rsidRPr="00C41C78" w:rsidTr="00323ABB">
        <w:trPr>
          <w:trHeight w:val="269"/>
        </w:trPr>
        <w:tc>
          <w:tcPr>
            <w:tcW w:w="4319" w:type="dxa"/>
            <w:vMerge/>
            <w:hideMark/>
          </w:tcPr>
          <w:p w:rsidR="00541233" w:rsidRPr="00C41C78" w:rsidRDefault="00541233" w:rsidP="00323ABB">
            <w:pPr>
              <w:spacing w:after="0" w:line="240" w:lineRule="auto"/>
              <w:rPr>
                <w:rFonts w:ascii="Calibri" w:eastAsia="Times New Roman" w:hAnsi="Calibri" w:cs="Times New Roman"/>
                <w:b/>
                <w:bCs/>
                <w:color w:val="4A442A"/>
                <w:lang w:eastAsia="es-MX"/>
              </w:rPr>
            </w:pPr>
          </w:p>
        </w:tc>
        <w:tc>
          <w:tcPr>
            <w:tcW w:w="3707" w:type="dxa"/>
            <w:vMerge/>
            <w:hideMark/>
          </w:tcPr>
          <w:p w:rsidR="00541233" w:rsidRPr="00C41C78" w:rsidRDefault="00541233" w:rsidP="00323ABB">
            <w:pPr>
              <w:spacing w:after="0" w:line="240" w:lineRule="auto"/>
              <w:rPr>
                <w:rFonts w:ascii="Calibri" w:eastAsia="Times New Roman" w:hAnsi="Calibri" w:cs="Times New Roman"/>
                <w:b/>
                <w:bCs/>
                <w:color w:val="4A442A"/>
                <w:lang w:eastAsia="es-MX"/>
              </w:rPr>
            </w:pPr>
          </w:p>
        </w:tc>
      </w:tr>
    </w:tbl>
    <w:p w:rsidR="00541233" w:rsidRDefault="00541233" w:rsidP="00C61A58">
      <w:pPr>
        <w:spacing w:line="360" w:lineRule="auto"/>
        <w:jc w:val="both"/>
        <w:rPr>
          <w:rFonts w:ascii="Arial" w:hAnsi="Arial" w:cs="Arial"/>
          <w:sz w:val="24"/>
          <w:szCs w:val="24"/>
          <w:lang w:val="es-ES"/>
        </w:rPr>
      </w:pPr>
    </w:p>
    <w:p w:rsidR="00541233" w:rsidRDefault="00541233" w:rsidP="00C61A58">
      <w:pPr>
        <w:spacing w:line="360" w:lineRule="auto"/>
        <w:jc w:val="both"/>
        <w:rPr>
          <w:rFonts w:ascii="Arial" w:hAnsi="Arial" w:cs="Arial"/>
          <w:sz w:val="24"/>
          <w:szCs w:val="24"/>
          <w:lang w:val="es-ES"/>
        </w:rPr>
      </w:pPr>
    </w:p>
    <w:sectPr w:rsidR="00541233" w:rsidSect="00536278">
      <w:headerReference w:type="default" r:id="rId9"/>
      <w:pgSz w:w="11906" w:h="16838"/>
      <w:pgMar w:top="1951" w:right="1701" w:bottom="1417" w:left="1701" w:header="11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A9" w:rsidRDefault="003318A9" w:rsidP="00961381">
      <w:pPr>
        <w:spacing w:after="0" w:line="240" w:lineRule="auto"/>
      </w:pPr>
      <w:r>
        <w:separator/>
      </w:r>
    </w:p>
  </w:endnote>
  <w:endnote w:type="continuationSeparator" w:id="0">
    <w:p w:rsidR="003318A9" w:rsidRDefault="003318A9" w:rsidP="0096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A9" w:rsidRDefault="003318A9" w:rsidP="00961381">
      <w:pPr>
        <w:spacing w:after="0" w:line="240" w:lineRule="auto"/>
      </w:pPr>
      <w:r>
        <w:separator/>
      </w:r>
    </w:p>
  </w:footnote>
  <w:footnote w:type="continuationSeparator" w:id="0">
    <w:p w:rsidR="003318A9" w:rsidRDefault="003318A9" w:rsidP="00961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AB9" w:rsidRDefault="003D5AB9" w:rsidP="003D5AB9">
    <w:pPr>
      <w:jc w:val="right"/>
      <w:rPr>
        <w:rFonts w:ascii="Arial" w:hAnsi="Arial" w:cs="Arial"/>
        <w:b/>
        <w:color w:val="008080"/>
        <w:sz w:val="24"/>
        <w:szCs w:val="24"/>
      </w:rPr>
    </w:pPr>
    <w:r>
      <w:rPr>
        <w:rFonts w:ascii="Arial" w:hAnsi="Arial" w:cs="Arial"/>
        <w:b/>
        <w:noProof/>
        <w:color w:val="008080"/>
        <w:sz w:val="24"/>
        <w:szCs w:val="24"/>
        <w:lang w:val="es-ES" w:eastAsia="es-ES"/>
      </w:rPr>
      <w:drawing>
        <wp:anchor distT="0" distB="0" distL="114300" distR="114300" simplePos="0" relativeHeight="251659264" behindDoc="0" locked="0" layoutInCell="1" allowOverlap="1" wp14:anchorId="42B850AE" wp14:editId="33FBFEC6">
          <wp:simplePos x="0" y="0"/>
          <wp:positionH relativeFrom="column">
            <wp:posOffset>54610</wp:posOffset>
          </wp:positionH>
          <wp:positionV relativeFrom="paragraph">
            <wp:posOffset>-116205</wp:posOffset>
          </wp:positionV>
          <wp:extent cx="1453515" cy="78105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0.jpg"/>
                  <pic:cNvPicPr/>
                </pic:nvPicPr>
                <pic:blipFill>
                  <a:blip r:embed="rId1">
                    <a:extLst>
                      <a:ext uri="{28A0092B-C50C-407E-A947-70E740481C1C}">
                        <a14:useLocalDpi xmlns:a14="http://schemas.microsoft.com/office/drawing/2010/main" val="0"/>
                      </a:ext>
                    </a:extLst>
                  </a:blip>
                  <a:stretch>
                    <a:fillRect/>
                  </a:stretch>
                </pic:blipFill>
                <pic:spPr>
                  <a:xfrm>
                    <a:off x="0" y="0"/>
                    <a:ext cx="1453515" cy="7810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008080"/>
        <w:sz w:val="24"/>
        <w:szCs w:val="24"/>
      </w:rPr>
      <w:tab/>
    </w:r>
    <w:r>
      <w:rPr>
        <w:rFonts w:ascii="Arial" w:hAnsi="Arial" w:cs="Arial"/>
        <w:b/>
        <w:color w:val="008080"/>
        <w:sz w:val="24"/>
        <w:szCs w:val="24"/>
      </w:rPr>
      <w:tab/>
    </w:r>
    <w:r>
      <w:rPr>
        <w:rFonts w:ascii="Arial" w:hAnsi="Arial" w:cs="Arial"/>
        <w:b/>
        <w:color w:val="008080"/>
        <w:sz w:val="24"/>
        <w:szCs w:val="24"/>
      </w:rPr>
      <w:tab/>
    </w:r>
    <w:r>
      <w:rPr>
        <w:rFonts w:ascii="Arial" w:hAnsi="Arial" w:cs="Arial"/>
        <w:b/>
        <w:color w:val="008080"/>
        <w:sz w:val="24"/>
        <w:szCs w:val="24"/>
      </w:rPr>
      <w:tab/>
    </w:r>
    <w:r w:rsidRPr="00926212">
      <w:rPr>
        <w:rFonts w:ascii="Arial" w:hAnsi="Arial" w:cs="Arial"/>
        <w:b/>
        <w:color w:val="008080"/>
        <w:sz w:val="24"/>
        <w:szCs w:val="24"/>
      </w:rPr>
      <w:t>Instituto de Acceso a la Información Pública y Protección de Datos Personales del Distrito Federal</w:t>
    </w:r>
  </w:p>
  <w:p w:rsidR="003D5AB9" w:rsidRPr="00C61A58" w:rsidRDefault="003D5AB9" w:rsidP="003D5AB9">
    <w:pPr>
      <w:spacing w:after="0"/>
      <w:jc w:val="center"/>
      <w:rPr>
        <w:rFonts w:ascii="Arial" w:hAnsi="Arial" w:cs="Arial"/>
        <w:b/>
        <w:color w:val="008080"/>
        <w:sz w:val="24"/>
        <w:szCs w:val="24"/>
      </w:rPr>
    </w:pPr>
    <w:r w:rsidRPr="00C61A58">
      <w:rPr>
        <w:rFonts w:ascii="Arial" w:hAnsi="Arial" w:cs="Arial"/>
        <w:b/>
        <w:color w:val="008080"/>
        <w:sz w:val="24"/>
        <w:szCs w:val="24"/>
      </w:rPr>
      <w:t xml:space="preserve">Informe </w:t>
    </w:r>
    <w:r>
      <w:rPr>
        <w:rFonts w:ascii="Arial" w:hAnsi="Arial" w:cs="Arial"/>
        <w:b/>
        <w:color w:val="008080"/>
        <w:sz w:val="24"/>
        <w:szCs w:val="24"/>
      </w:rPr>
      <w:t>d</w:t>
    </w:r>
    <w:r w:rsidRPr="00C61A58">
      <w:rPr>
        <w:rFonts w:ascii="Arial" w:hAnsi="Arial" w:cs="Arial"/>
        <w:b/>
        <w:color w:val="008080"/>
        <w:sz w:val="24"/>
        <w:szCs w:val="24"/>
      </w:rPr>
      <w:t>e Actividades</w:t>
    </w:r>
  </w:p>
  <w:p w:rsidR="003D5AB9" w:rsidRPr="00C61A58" w:rsidRDefault="003D5AB9" w:rsidP="003D5AB9">
    <w:pPr>
      <w:tabs>
        <w:tab w:val="left" w:pos="2925"/>
        <w:tab w:val="right" w:pos="8504"/>
      </w:tabs>
      <w:spacing w:after="0"/>
      <w:jc w:val="center"/>
      <w:rPr>
        <w:rFonts w:ascii="Arial" w:hAnsi="Arial" w:cs="Arial"/>
        <w:b/>
        <w:color w:val="008080"/>
        <w:sz w:val="24"/>
        <w:szCs w:val="24"/>
      </w:rPr>
    </w:pPr>
    <w:r>
      <w:rPr>
        <w:rFonts w:ascii="Arial" w:hAnsi="Arial" w:cs="Arial"/>
        <w:b/>
        <w:color w:val="008080"/>
        <w:sz w:val="24"/>
        <w:szCs w:val="24"/>
      </w:rPr>
      <w:t>2016</w:t>
    </w:r>
  </w:p>
  <w:p w:rsidR="003D5AB9" w:rsidRPr="00C61A58" w:rsidRDefault="003D5AB9" w:rsidP="003D5AB9">
    <w:pPr>
      <w:pStyle w:val="Encabezado"/>
      <w:rPr>
        <w:color w:val="0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4" type="#_x0000_t75" style="width:12.75pt;height:12.75pt" o:bullet="t">
        <v:imagedata r:id="rId1" o:title="BD21304_"/>
      </v:shape>
    </w:pict>
  </w:numPicBullet>
  <w:abstractNum w:abstractNumId="0">
    <w:nsid w:val="54063EEB"/>
    <w:multiLevelType w:val="hybridMultilevel"/>
    <w:tmpl w:val="ED14C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81"/>
    <w:rsid w:val="000549FD"/>
    <w:rsid w:val="00086FDD"/>
    <w:rsid w:val="00097DEE"/>
    <w:rsid w:val="00107BDE"/>
    <w:rsid w:val="00124F6F"/>
    <w:rsid w:val="00147B66"/>
    <w:rsid w:val="00171040"/>
    <w:rsid w:val="00181725"/>
    <w:rsid w:val="00203137"/>
    <w:rsid w:val="002124FB"/>
    <w:rsid w:val="002839C3"/>
    <w:rsid w:val="002A3368"/>
    <w:rsid w:val="0030117F"/>
    <w:rsid w:val="003318A9"/>
    <w:rsid w:val="00346A73"/>
    <w:rsid w:val="003778DF"/>
    <w:rsid w:val="00386F91"/>
    <w:rsid w:val="003D5AB9"/>
    <w:rsid w:val="00493507"/>
    <w:rsid w:val="004D2FE0"/>
    <w:rsid w:val="00523F18"/>
    <w:rsid w:val="00536278"/>
    <w:rsid w:val="00541233"/>
    <w:rsid w:val="005E6D7C"/>
    <w:rsid w:val="006A67B4"/>
    <w:rsid w:val="006C071F"/>
    <w:rsid w:val="006F36E2"/>
    <w:rsid w:val="007019B3"/>
    <w:rsid w:val="007749BF"/>
    <w:rsid w:val="007D5201"/>
    <w:rsid w:val="007F159A"/>
    <w:rsid w:val="0080243F"/>
    <w:rsid w:val="00833639"/>
    <w:rsid w:val="008B45AE"/>
    <w:rsid w:val="00954DA3"/>
    <w:rsid w:val="00961381"/>
    <w:rsid w:val="00983590"/>
    <w:rsid w:val="009A0468"/>
    <w:rsid w:val="009E0E75"/>
    <w:rsid w:val="00AF5B71"/>
    <w:rsid w:val="00BD07E4"/>
    <w:rsid w:val="00BF1B12"/>
    <w:rsid w:val="00C12AD5"/>
    <w:rsid w:val="00C12BFB"/>
    <w:rsid w:val="00C61A58"/>
    <w:rsid w:val="00CA04F7"/>
    <w:rsid w:val="00D2029F"/>
    <w:rsid w:val="00E9266D"/>
    <w:rsid w:val="00EE686B"/>
    <w:rsid w:val="00F24C46"/>
    <w:rsid w:val="00F3086A"/>
    <w:rsid w:val="00FA67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1381"/>
    <w:pPr>
      <w:spacing w:after="200" w:line="276" w:lineRule="auto"/>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9613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381"/>
    <w:rPr>
      <w:rFonts w:ascii="Segoe UI" w:hAnsi="Segoe UI" w:cs="Segoe UI"/>
      <w:sz w:val="18"/>
      <w:szCs w:val="18"/>
      <w:lang w:val="es-MX"/>
    </w:rPr>
  </w:style>
  <w:style w:type="paragraph" w:styleId="Encabezado">
    <w:name w:val="header"/>
    <w:basedOn w:val="Normal"/>
    <w:link w:val="EncabezadoCar"/>
    <w:uiPriority w:val="99"/>
    <w:unhideWhenUsed/>
    <w:rsid w:val="009613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1381"/>
    <w:rPr>
      <w:lang w:val="es-MX"/>
    </w:rPr>
  </w:style>
  <w:style w:type="paragraph" w:styleId="Piedepgina">
    <w:name w:val="footer"/>
    <w:basedOn w:val="Normal"/>
    <w:link w:val="PiedepginaCar"/>
    <w:uiPriority w:val="99"/>
    <w:unhideWhenUsed/>
    <w:rsid w:val="009613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1381"/>
    <w:rPr>
      <w:lang w:val="es-MX"/>
    </w:rPr>
  </w:style>
  <w:style w:type="table" w:customStyle="1" w:styleId="Tablaconcuadrcula11">
    <w:name w:val="Tabla con cuadrícula11"/>
    <w:basedOn w:val="Tablanormal"/>
    <w:uiPriority w:val="59"/>
    <w:rsid w:val="00AF5B71"/>
    <w:pPr>
      <w:spacing w:after="0" w:line="240" w:lineRule="auto"/>
    </w:pPr>
    <w:rPr>
      <w:rFonts w:eastAsiaTheme="minorEastAsia"/>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346A7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46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1381"/>
    <w:pPr>
      <w:spacing w:after="200" w:line="276" w:lineRule="auto"/>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9613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381"/>
    <w:rPr>
      <w:rFonts w:ascii="Segoe UI" w:hAnsi="Segoe UI" w:cs="Segoe UI"/>
      <w:sz w:val="18"/>
      <w:szCs w:val="18"/>
      <w:lang w:val="es-MX"/>
    </w:rPr>
  </w:style>
  <w:style w:type="paragraph" w:styleId="Encabezado">
    <w:name w:val="header"/>
    <w:basedOn w:val="Normal"/>
    <w:link w:val="EncabezadoCar"/>
    <w:uiPriority w:val="99"/>
    <w:unhideWhenUsed/>
    <w:rsid w:val="009613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1381"/>
    <w:rPr>
      <w:lang w:val="es-MX"/>
    </w:rPr>
  </w:style>
  <w:style w:type="paragraph" w:styleId="Piedepgina">
    <w:name w:val="footer"/>
    <w:basedOn w:val="Normal"/>
    <w:link w:val="PiedepginaCar"/>
    <w:uiPriority w:val="99"/>
    <w:unhideWhenUsed/>
    <w:rsid w:val="009613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1381"/>
    <w:rPr>
      <w:lang w:val="es-MX"/>
    </w:rPr>
  </w:style>
  <w:style w:type="table" w:customStyle="1" w:styleId="Tablaconcuadrcula11">
    <w:name w:val="Tabla con cuadrícula11"/>
    <w:basedOn w:val="Tablanormal"/>
    <w:uiPriority w:val="59"/>
    <w:rsid w:val="00AF5B71"/>
    <w:pPr>
      <w:spacing w:after="0" w:line="240" w:lineRule="auto"/>
    </w:pPr>
    <w:rPr>
      <w:rFonts w:eastAsiaTheme="minorEastAsia"/>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346A7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46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723A-3C4C-4F96-813C-11AEB855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Israel.Renteria</dc:creator>
  <cp:lastModifiedBy>Israel.Renteria</cp:lastModifiedBy>
  <cp:revision>2</cp:revision>
  <dcterms:created xsi:type="dcterms:W3CDTF">2016-12-14T19:43:00Z</dcterms:created>
  <dcterms:modified xsi:type="dcterms:W3CDTF">2016-12-14T19:43:00Z</dcterms:modified>
</cp:coreProperties>
</file>