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7802A119" w:rsidR="00B2580E" w:rsidRDefault="00B2580E" w:rsidP="008F1378">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AL </w:t>
      </w:r>
      <w:r w:rsidR="0091419C">
        <w:rPr>
          <w:b/>
        </w:rPr>
        <w:t>3</w:t>
      </w:r>
      <w:r w:rsidR="00863CD4">
        <w:rPr>
          <w:b/>
        </w:rPr>
        <w:t>1</w:t>
      </w:r>
      <w:r w:rsidR="00310BAB" w:rsidRPr="0076547D">
        <w:rPr>
          <w:b/>
        </w:rPr>
        <w:t xml:space="preserve"> </w:t>
      </w:r>
      <w:r w:rsidR="00D96169" w:rsidRPr="0076547D">
        <w:rPr>
          <w:b/>
        </w:rPr>
        <w:t xml:space="preserve">DE </w:t>
      </w:r>
      <w:r w:rsidR="00863CD4">
        <w:rPr>
          <w:b/>
        </w:rPr>
        <w:t>DICIEMBRE</w:t>
      </w:r>
      <w:r w:rsidR="0097165A">
        <w:rPr>
          <w:b/>
        </w:rPr>
        <w:t xml:space="preserve"> </w:t>
      </w:r>
      <w:r w:rsidR="00233DB2">
        <w:rPr>
          <w:b/>
        </w:rPr>
        <w:t>D</w:t>
      </w:r>
      <w:r w:rsidR="00D96169" w:rsidRPr="0076547D">
        <w:rPr>
          <w:b/>
        </w:rPr>
        <w:t>E 20</w:t>
      </w:r>
      <w:r w:rsidR="006E027D">
        <w:rPr>
          <w:b/>
        </w:rPr>
        <w:t>2</w:t>
      </w:r>
      <w:r w:rsidR="00233DB2">
        <w:rPr>
          <w:b/>
        </w:rPr>
        <w:t>1</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5A00807A" w:rsidR="00B2580E" w:rsidRPr="00272BD4" w:rsidRDefault="00233DB2" w:rsidP="006E027D">
            <w:pPr>
              <w:pStyle w:val="ENCTAB"/>
              <w:spacing w:after="0"/>
              <w:rPr>
                <w:sz w:val="14"/>
                <w:szCs w:val="14"/>
              </w:rPr>
            </w:pPr>
            <w:r>
              <w:rPr>
                <w:sz w:val="14"/>
                <w:szCs w:val="14"/>
              </w:rPr>
              <w:t>2021</w:t>
            </w:r>
          </w:p>
        </w:tc>
        <w:tc>
          <w:tcPr>
            <w:tcW w:w="1418" w:type="dxa"/>
            <w:shd w:val="clear" w:color="auto" w:fill="D2D3D5"/>
            <w:vAlign w:val="center"/>
          </w:tcPr>
          <w:p w14:paraId="53CD9D18" w14:textId="59982E85" w:rsidR="00B2580E" w:rsidRPr="00272BD4" w:rsidRDefault="00233DB2" w:rsidP="006E027D">
            <w:pPr>
              <w:pStyle w:val="ENCTAB"/>
              <w:spacing w:after="0"/>
              <w:rPr>
                <w:sz w:val="14"/>
                <w:szCs w:val="14"/>
              </w:rPr>
            </w:pPr>
            <w:r>
              <w:rPr>
                <w:sz w:val="14"/>
                <w:szCs w:val="14"/>
              </w:rPr>
              <w:t>2020</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27C3797B" w:rsidR="00B2580E" w:rsidRPr="0063233F" w:rsidRDefault="00863CD4"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3651723A" w14:textId="374944B2" w:rsidR="00B2580E" w:rsidRPr="00AF71CB" w:rsidRDefault="00863CD4" w:rsidP="00006836">
            <w:pPr>
              <w:pStyle w:val="TEXTAB"/>
              <w:spacing w:after="0"/>
              <w:ind w:right="237"/>
              <w:jc w:val="right"/>
              <w:rPr>
                <w:sz w:val="12"/>
                <w:szCs w:val="12"/>
                <w:lang w:val="es-ES_tradnl"/>
              </w:rPr>
            </w:pPr>
            <w:r>
              <w:rPr>
                <w:sz w:val="12"/>
                <w:szCs w:val="12"/>
                <w:lang w:val="es-ES_tradnl"/>
              </w:rPr>
              <w:t>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0C1177BA" w:rsidR="00B2580E" w:rsidRPr="0063233F" w:rsidRDefault="00863CD4" w:rsidP="00006836">
            <w:pPr>
              <w:pStyle w:val="TEXTAB"/>
              <w:spacing w:after="0"/>
              <w:ind w:right="237"/>
              <w:jc w:val="right"/>
              <w:rPr>
                <w:sz w:val="12"/>
                <w:szCs w:val="12"/>
                <w:lang w:val="es-ES_tradnl"/>
              </w:rPr>
            </w:pPr>
            <w:r w:rsidRPr="00863CD4">
              <w:rPr>
                <w:sz w:val="12"/>
                <w:szCs w:val="12"/>
                <w:lang w:val="es-ES_tradnl"/>
              </w:rPr>
              <w:t>1,433,121</w:t>
            </w:r>
          </w:p>
        </w:tc>
        <w:tc>
          <w:tcPr>
            <w:tcW w:w="1418" w:type="dxa"/>
            <w:vAlign w:val="center"/>
          </w:tcPr>
          <w:p w14:paraId="430E79CB" w14:textId="135F09ED" w:rsidR="00B2580E" w:rsidRPr="00AF71CB" w:rsidRDefault="00863CD4" w:rsidP="00EF1D02">
            <w:pPr>
              <w:pStyle w:val="TEXTAB"/>
              <w:spacing w:after="0"/>
              <w:ind w:right="237"/>
              <w:jc w:val="right"/>
              <w:rPr>
                <w:sz w:val="12"/>
                <w:szCs w:val="12"/>
                <w:lang w:val="es-ES_tradnl"/>
              </w:rPr>
            </w:pPr>
            <w:r>
              <w:rPr>
                <w:sz w:val="12"/>
                <w:szCs w:val="12"/>
                <w:lang w:val="es-ES_tradnl"/>
              </w:rPr>
              <w:t>1,229,610</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279F637B" w:rsidR="00B2580E" w:rsidRPr="0063233F" w:rsidRDefault="00863CD4"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4D918B0A" w14:textId="39368F08" w:rsidR="00B2580E" w:rsidRPr="00AF71CB" w:rsidRDefault="00863CD4" w:rsidP="003359D1">
            <w:pPr>
              <w:pStyle w:val="TEXTAB"/>
              <w:spacing w:after="0"/>
              <w:ind w:right="237"/>
              <w:jc w:val="right"/>
              <w:rPr>
                <w:sz w:val="12"/>
                <w:szCs w:val="12"/>
                <w:lang w:val="es-ES_tradnl"/>
              </w:rPr>
            </w:pPr>
            <w:r>
              <w:rPr>
                <w:sz w:val="12"/>
                <w:szCs w:val="12"/>
                <w:lang w:val="es-ES_tradnl"/>
              </w:rPr>
              <w:t>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3B08BBCA" w:rsidR="00AA0FFE" w:rsidRDefault="00863CD4" w:rsidP="00500541">
            <w:pPr>
              <w:pStyle w:val="TEXTAB"/>
              <w:spacing w:after="0"/>
              <w:ind w:right="237"/>
              <w:jc w:val="right"/>
              <w:rPr>
                <w:sz w:val="12"/>
                <w:szCs w:val="12"/>
                <w:lang w:val="es-ES_tradnl"/>
              </w:rPr>
            </w:pPr>
            <w:r>
              <w:rPr>
                <w:sz w:val="12"/>
                <w:szCs w:val="12"/>
                <w:lang w:val="es-ES_tradnl"/>
              </w:rPr>
              <w:t>0</w:t>
            </w:r>
          </w:p>
        </w:tc>
        <w:tc>
          <w:tcPr>
            <w:tcW w:w="1418" w:type="dxa"/>
            <w:tcBorders>
              <w:bottom w:val="double" w:sz="4" w:space="0" w:color="auto"/>
            </w:tcBorders>
            <w:vAlign w:val="center"/>
          </w:tcPr>
          <w:p w14:paraId="357F625B" w14:textId="6AF362DB" w:rsidR="00AA0FFE" w:rsidRPr="00AF71CB" w:rsidRDefault="00863CD4" w:rsidP="00827488">
            <w:pPr>
              <w:pStyle w:val="TEXTAB"/>
              <w:spacing w:after="0"/>
              <w:ind w:right="237"/>
              <w:jc w:val="right"/>
              <w:rPr>
                <w:sz w:val="12"/>
                <w:szCs w:val="12"/>
                <w:lang w:val="es-ES_tradnl"/>
              </w:rPr>
            </w:pPr>
            <w:r>
              <w:rPr>
                <w:sz w:val="12"/>
                <w:szCs w:val="12"/>
                <w:lang w:val="es-ES_tradnl"/>
              </w:rPr>
              <w:t>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206F6018" w:rsidR="00B2580E" w:rsidRPr="0063233F" w:rsidRDefault="00863CD4" w:rsidP="0090589C">
            <w:pPr>
              <w:pStyle w:val="TEXTAB"/>
              <w:spacing w:after="0"/>
              <w:ind w:right="237"/>
              <w:jc w:val="right"/>
              <w:rPr>
                <w:sz w:val="12"/>
                <w:szCs w:val="12"/>
                <w:lang w:val="es-ES_tradnl"/>
              </w:rPr>
            </w:pPr>
            <w:r w:rsidRPr="00863CD4">
              <w:rPr>
                <w:sz w:val="12"/>
                <w:szCs w:val="12"/>
                <w:lang w:val="es-ES_tradnl"/>
              </w:rPr>
              <w:t>1,433,121</w:t>
            </w:r>
          </w:p>
        </w:tc>
        <w:tc>
          <w:tcPr>
            <w:tcW w:w="1418" w:type="dxa"/>
            <w:shd w:val="clear" w:color="auto" w:fill="D2D3D5"/>
            <w:vAlign w:val="center"/>
          </w:tcPr>
          <w:p w14:paraId="41793B18" w14:textId="0C91FD3F" w:rsidR="00B2580E" w:rsidRPr="0063233F" w:rsidRDefault="00863CD4" w:rsidP="00006836">
            <w:pPr>
              <w:pStyle w:val="TEXTAB"/>
              <w:spacing w:after="0"/>
              <w:ind w:right="237"/>
              <w:jc w:val="right"/>
              <w:rPr>
                <w:sz w:val="12"/>
                <w:szCs w:val="12"/>
                <w:lang w:val="es-ES_tradnl"/>
              </w:rPr>
            </w:pPr>
            <w:r>
              <w:rPr>
                <w:sz w:val="12"/>
                <w:szCs w:val="12"/>
                <w:lang w:val="es-ES_tradnl"/>
              </w:rPr>
              <w:t>1,229,610</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4531D243" w:rsidR="005D230D" w:rsidRDefault="005D230D" w:rsidP="005D230D">
      <w:pPr>
        <w:pStyle w:val="documento"/>
        <w:tabs>
          <w:tab w:val="left" w:pos="3402"/>
        </w:tabs>
      </w:pPr>
      <w:r>
        <w:t>Veh</w:t>
      </w:r>
      <w:r w:rsidR="00377F70">
        <w:t>ículos y equipo de transporte</w:t>
      </w:r>
      <w:r w:rsidR="00377F70">
        <w:tab/>
        <w:t>25 Y 20</w:t>
      </w:r>
      <w:r>
        <w:t xml:space="preserve">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2656E3AD" w:rsidR="005D230D" w:rsidRDefault="005D230D" w:rsidP="005D230D">
      <w:pPr>
        <w:pStyle w:val="documento"/>
      </w:pPr>
      <w:r w:rsidRPr="00E50D64">
        <w:t xml:space="preserve">El monto de la depreciación acumulada fue de </w:t>
      </w:r>
      <w:r w:rsidR="00B65EAA" w:rsidRPr="00173130">
        <w:t>$</w:t>
      </w:r>
      <w:r w:rsidR="00377F70" w:rsidRPr="00377F70">
        <w:t>26</w:t>
      </w:r>
      <w:proofErr w:type="gramStart"/>
      <w:r w:rsidR="00377F70" w:rsidRPr="00377F70">
        <w:t>,055,322</w:t>
      </w:r>
      <w:proofErr w:type="gramEnd"/>
      <w:r w:rsidR="00A832E3">
        <w:t xml:space="preserve"> </w:t>
      </w:r>
      <w:r w:rsidRPr="00E50D64">
        <w:t xml:space="preserve">y la amortización acumulada de </w:t>
      </w:r>
      <w:r w:rsidR="00F14031" w:rsidRPr="00173130">
        <w:t>$</w:t>
      </w:r>
      <w:r w:rsidR="00377F70" w:rsidRPr="00377F70">
        <w:t>6,172,839.25</w:t>
      </w:r>
      <w:r w:rsidR="0001723E" w:rsidRPr="00173130">
        <w:t>.</w:t>
      </w:r>
      <w:r w:rsidR="00E51A28" w:rsidRPr="00173130">
        <w:t xml:space="preserve"> </w:t>
      </w:r>
      <w:r w:rsidRPr="00173130">
        <w:t xml:space="preserve">La depreciación y amortización </w:t>
      </w:r>
      <w:r w:rsidR="00C80D77" w:rsidRPr="00173130">
        <w:t xml:space="preserve">al mes de </w:t>
      </w:r>
      <w:r w:rsidR="00377F70">
        <w:t>diciembre</w:t>
      </w:r>
      <w:r w:rsidR="00105266">
        <w:t xml:space="preserve"> </w:t>
      </w:r>
      <w:r w:rsidR="004D463A" w:rsidRPr="00173130">
        <w:t>d</w:t>
      </w:r>
      <w:r w:rsidR="00E51A28" w:rsidRPr="00173130">
        <w:t>e 20</w:t>
      </w:r>
      <w:r w:rsidR="00E5295B" w:rsidRPr="00173130">
        <w:t>2</w:t>
      </w:r>
      <w:r w:rsidR="00233DB2" w:rsidRPr="00173130">
        <w:t>1</w:t>
      </w:r>
      <w:r w:rsidR="00E51A28" w:rsidRPr="00173130">
        <w:t xml:space="preserve"> es de </w:t>
      </w:r>
      <w:r w:rsidR="0039154A" w:rsidRPr="00173130">
        <w:t>$</w:t>
      </w:r>
      <w:r w:rsidR="00377F70" w:rsidRPr="00377F70">
        <w:t>4</w:t>
      </w:r>
      <w:proofErr w:type="gramStart"/>
      <w:r w:rsidR="00377F70" w:rsidRPr="00377F70">
        <w:t>,508,73</w:t>
      </w:r>
      <w:r w:rsidR="00377F70">
        <w:t>6</w:t>
      </w:r>
      <w:proofErr w:type="gramEnd"/>
      <w:r w:rsidR="00486642">
        <w:t xml:space="preserve"> </w:t>
      </w:r>
      <w:r w:rsidRPr="00173130">
        <w:t xml:space="preserve">y </w:t>
      </w:r>
      <w:r w:rsidR="00B65EAA" w:rsidRPr="00173130">
        <w:t>$</w:t>
      </w:r>
      <w:r w:rsidR="00377F70">
        <w:t>1,416,504</w:t>
      </w:r>
      <w:r w:rsidR="0097787B">
        <w:t xml:space="preserve">, </w:t>
      </w:r>
      <w:r w:rsidRPr="00173130">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3022BBF5" w:rsidR="00B2580E" w:rsidRPr="00272BD4" w:rsidRDefault="00233DB2" w:rsidP="00E5295B">
            <w:pPr>
              <w:pStyle w:val="ENCTAB"/>
              <w:spacing w:after="0"/>
              <w:rPr>
                <w:sz w:val="14"/>
                <w:szCs w:val="14"/>
              </w:rPr>
            </w:pPr>
            <w:r>
              <w:rPr>
                <w:sz w:val="14"/>
                <w:szCs w:val="14"/>
              </w:rPr>
              <w:t>2021</w:t>
            </w:r>
          </w:p>
        </w:tc>
        <w:tc>
          <w:tcPr>
            <w:tcW w:w="1418" w:type="dxa"/>
            <w:shd w:val="clear" w:color="auto" w:fill="D2D3D5"/>
            <w:vAlign w:val="center"/>
          </w:tcPr>
          <w:p w14:paraId="52FFA307" w14:textId="1BE0A186" w:rsidR="00B2580E" w:rsidRPr="00272BD4" w:rsidRDefault="00233DB2" w:rsidP="00E5295B">
            <w:pPr>
              <w:pStyle w:val="ENCTAB"/>
              <w:spacing w:after="0"/>
              <w:rPr>
                <w:sz w:val="14"/>
                <w:szCs w:val="14"/>
              </w:rPr>
            </w:pPr>
            <w:r>
              <w:rPr>
                <w:sz w:val="14"/>
                <w:szCs w:val="14"/>
              </w:rPr>
              <w:t>2020</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567E4" w:rsidRPr="0063233F" w14:paraId="2ECF8144" w14:textId="77777777" w:rsidTr="00B567E4">
        <w:trPr>
          <w:trHeight w:val="280"/>
          <w:jc w:val="center"/>
        </w:trPr>
        <w:tc>
          <w:tcPr>
            <w:tcW w:w="5672" w:type="dxa"/>
            <w:vAlign w:val="center"/>
          </w:tcPr>
          <w:p w14:paraId="6F0177AC" w14:textId="152B3903" w:rsidR="00B567E4" w:rsidRPr="0063233F" w:rsidRDefault="00B567E4" w:rsidP="00B567E4">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55AD84F9" w:rsidR="00B567E4" w:rsidRPr="00B567E4" w:rsidRDefault="00435945" w:rsidP="00B567E4">
            <w:pPr>
              <w:pStyle w:val="TEXTAB"/>
              <w:spacing w:after="0"/>
              <w:ind w:right="237"/>
              <w:jc w:val="right"/>
              <w:rPr>
                <w:sz w:val="12"/>
                <w:szCs w:val="12"/>
                <w:lang w:val="es-ES_tradnl"/>
              </w:rPr>
            </w:pPr>
            <w:r w:rsidRPr="00435945">
              <w:rPr>
                <w:sz w:val="12"/>
                <w:szCs w:val="12"/>
              </w:rPr>
              <w:t>28,347,567</w:t>
            </w:r>
          </w:p>
        </w:tc>
        <w:tc>
          <w:tcPr>
            <w:tcW w:w="1418" w:type="dxa"/>
          </w:tcPr>
          <w:p w14:paraId="3F18A06E" w14:textId="6F32F739" w:rsidR="00B567E4" w:rsidRPr="00B567E4" w:rsidRDefault="001412A4" w:rsidP="00B567E4">
            <w:pPr>
              <w:pStyle w:val="TEXTAB"/>
              <w:spacing w:after="0"/>
              <w:ind w:right="237"/>
              <w:jc w:val="right"/>
              <w:rPr>
                <w:sz w:val="12"/>
                <w:szCs w:val="12"/>
                <w:lang w:val="es-ES_tradnl"/>
              </w:rPr>
            </w:pPr>
            <w:r>
              <w:rPr>
                <w:sz w:val="12"/>
                <w:szCs w:val="12"/>
              </w:rPr>
              <w:t>29,192,208</w:t>
            </w:r>
            <w:r w:rsidR="00B567E4" w:rsidRPr="00B567E4">
              <w:rPr>
                <w:sz w:val="12"/>
                <w:szCs w:val="12"/>
              </w:rPr>
              <w:t xml:space="preserve"> </w:t>
            </w:r>
          </w:p>
        </w:tc>
      </w:tr>
      <w:tr w:rsidR="00B567E4" w:rsidRPr="0063233F" w14:paraId="7CABFE3B" w14:textId="77777777" w:rsidTr="00B567E4">
        <w:trPr>
          <w:trHeight w:val="280"/>
          <w:jc w:val="center"/>
        </w:trPr>
        <w:tc>
          <w:tcPr>
            <w:tcW w:w="5672" w:type="dxa"/>
            <w:vAlign w:val="center"/>
          </w:tcPr>
          <w:p w14:paraId="081FAB21" w14:textId="7CFA28E2" w:rsidR="00B567E4" w:rsidRDefault="00B567E4" w:rsidP="00B567E4">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59099F14" w:rsidR="00B567E4" w:rsidRPr="00B567E4" w:rsidRDefault="00435945" w:rsidP="00B567E4">
            <w:pPr>
              <w:pStyle w:val="TEXTAB"/>
              <w:spacing w:after="0"/>
              <w:ind w:right="237"/>
              <w:jc w:val="right"/>
              <w:rPr>
                <w:sz w:val="12"/>
                <w:szCs w:val="12"/>
                <w:lang w:val="es-ES_tradnl"/>
              </w:rPr>
            </w:pPr>
            <w:r w:rsidRPr="00435945">
              <w:rPr>
                <w:sz w:val="12"/>
                <w:szCs w:val="12"/>
              </w:rPr>
              <w:t>1,989,756</w:t>
            </w:r>
          </w:p>
        </w:tc>
        <w:tc>
          <w:tcPr>
            <w:tcW w:w="1418" w:type="dxa"/>
          </w:tcPr>
          <w:p w14:paraId="6710702B" w14:textId="0D403B1F" w:rsidR="00B567E4" w:rsidRPr="00B567E4" w:rsidRDefault="00435945" w:rsidP="00EF1D02">
            <w:pPr>
              <w:pStyle w:val="TEXTAB"/>
              <w:spacing w:after="0"/>
              <w:ind w:right="237"/>
              <w:jc w:val="right"/>
              <w:rPr>
                <w:sz w:val="12"/>
                <w:szCs w:val="12"/>
                <w:lang w:val="es-ES_tradnl"/>
              </w:rPr>
            </w:pPr>
            <w:r>
              <w:rPr>
                <w:sz w:val="12"/>
                <w:szCs w:val="12"/>
              </w:rPr>
              <w:t>1,353,171</w:t>
            </w:r>
            <w:r w:rsidR="00B567E4" w:rsidRPr="00B567E4">
              <w:rPr>
                <w:sz w:val="12"/>
                <w:szCs w:val="12"/>
              </w:rPr>
              <w:t xml:space="preserve"> </w:t>
            </w:r>
          </w:p>
        </w:tc>
      </w:tr>
      <w:tr w:rsidR="00B567E4" w:rsidRPr="0063233F" w14:paraId="4EF9EA5C" w14:textId="77777777" w:rsidTr="00B567E4">
        <w:trPr>
          <w:trHeight w:val="280"/>
          <w:jc w:val="center"/>
        </w:trPr>
        <w:tc>
          <w:tcPr>
            <w:tcW w:w="5672" w:type="dxa"/>
            <w:vAlign w:val="center"/>
          </w:tcPr>
          <w:p w14:paraId="364544D5" w14:textId="23FF57D8" w:rsidR="00B567E4" w:rsidRDefault="00B567E4" w:rsidP="00B567E4">
            <w:pPr>
              <w:pStyle w:val="TEXTAB"/>
              <w:spacing w:after="0"/>
              <w:ind w:right="237"/>
              <w:rPr>
                <w:sz w:val="12"/>
                <w:szCs w:val="12"/>
                <w:lang w:val="es-ES_tradnl"/>
              </w:rPr>
            </w:pPr>
            <w:r>
              <w:rPr>
                <w:sz w:val="12"/>
                <w:szCs w:val="12"/>
                <w:lang w:val="es-ES_tradnl"/>
              </w:rPr>
              <w:t>EQUIPO DE TRANSPORTE</w:t>
            </w:r>
          </w:p>
        </w:tc>
        <w:tc>
          <w:tcPr>
            <w:tcW w:w="1418" w:type="dxa"/>
          </w:tcPr>
          <w:p w14:paraId="1A6E6032" w14:textId="710692DD" w:rsidR="00B567E4" w:rsidRPr="00B567E4" w:rsidRDefault="00435945" w:rsidP="00B567E4">
            <w:pPr>
              <w:pStyle w:val="TEXTAB"/>
              <w:spacing w:after="0"/>
              <w:ind w:right="237"/>
              <w:jc w:val="right"/>
              <w:rPr>
                <w:sz w:val="12"/>
                <w:szCs w:val="12"/>
                <w:lang w:val="es-ES_tradnl"/>
              </w:rPr>
            </w:pPr>
            <w:r w:rsidRPr="00435945">
              <w:rPr>
                <w:sz w:val="12"/>
                <w:szCs w:val="12"/>
              </w:rPr>
              <w:t>5,318,196</w:t>
            </w:r>
          </w:p>
        </w:tc>
        <w:tc>
          <w:tcPr>
            <w:tcW w:w="1418" w:type="dxa"/>
          </w:tcPr>
          <w:p w14:paraId="176D1637" w14:textId="415DB51E" w:rsidR="00B567E4" w:rsidRPr="00B567E4" w:rsidRDefault="00435945" w:rsidP="00B567E4">
            <w:pPr>
              <w:pStyle w:val="TEXTAB"/>
              <w:spacing w:after="0"/>
              <w:ind w:right="237"/>
              <w:jc w:val="right"/>
              <w:rPr>
                <w:sz w:val="12"/>
                <w:szCs w:val="12"/>
                <w:lang w:val="es-ES_tradnl"/>
              </w:rPr>
            </w:pPr>
            <w:r w:rsidRPr="00435945">
              <w:rPr>
                <w:sz w:val="12"/>
                <w:szCs w:val="12"/>
              </w:rPr>
              <w:t>5,140,504</w:t>
            </w:r>
          </w:p>
        </w:tc>
      </w:tr>
      <w:tr w:rsidR="00B567E4" w:rsidRPr="0063233F" w14:paraId="1E59AD85" w14:textId="77777777" w:rsidTr="00B567E4">
        <w:trPr>
          <w:trHeight w:val="280"/>
          <w:jc w:val="center"/>
        </w:trPr>
        <w:tc>
          <w:tcPr>
            <w:tcW w:w="5672" w:type="dxa"/>
            <w:tcBorders>
              <w:bottom w:val="nil"/>
            </w:tcBorders>
            <w:vAlign w:val="center"/>
          </w:tcPr>
          <w:p w14:paraId="699ED75B" w14:textId="15D9C91F" w:rsidR="00B567E4" w:rsidRPr="0063233F" w:rsidRDefault="00B567E4" w:rsidP="00B567E4">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425B76A2" w:rsidR="00B567E4" w:rsidRPr="00B567E4" w:rsidRDefault="00435945" w:rsidP="00831106">
            <w:pPr>
              <w:pStyle w:val="TEXTAB"/>
              <w:spacing w:after="0"/>
              <w:ind w:right="237"/>
              <w:jc w:val="right"/>
              <w:rPr>
                <w:sz w:val="12"/>
                <w:szCs w:val="12"/>
                <w:lang w:val="es-ES_tradnl"/>
              </w:rPr>
            </w:pPr>
            <w:r w:rsidRPr="00435945">
              <w:rPr>
                <w:sz w:val="12"/>
                <w:szCs w:val="12"/>
              </w:rPr>
              <w:t>4,031,229</w:t>
            </w:r>
          </w:p>
        </w:tc>
        <w:tc>
          <w:tcPr>
            <w:tcW w:w="1418" w:type="dxa"/>
            <w:tcBorders>
              <w:bottom w:val="nil"/>
            </w:tcBorders>
          </w:tcPr>
          <w:p w14:paraId="00D59FA2" w14:textId="419DB23A" w:rsidR="00B567E4" w:rsidRPr="00B567E4" w:rsidRDefault="00435945" w:rsidP="00B567E4">
            <w:pPr>
              <w:pStyle w:val="TEXTAB"/>
              <w:spacing w:after="0"/>
              <w:ind w:right="237"/>
              <w:jc w:val="right"/>
              <w:rPr>
                <w:sz w:val="12"/>
                <w:szCs w:val="12"/>
                <w:lang w:val="es-ES_tradnl"/>
              </w:rPr>
            </w:pPr>
            <w:r w:rsidRPr="00435945">
              <w:rPr>
                <w:sz w:val="12"/>
                <w:szCs w:val="12"/>
              </w:rPr>
              <w:t>4,362,062</w:t>
            </w:r>
          </w:p>
        </w:tc>
      </w:tr>
      <w:tr w:rsidR="00B567E4" w:rsidRPr="0063233F" w14:paraId="5FED17A5" w14:textId="77777777" w:rsidTr="00B567E4">
        <w:trPr>
          <w:trHeight w:val="280"/>
          <w:jc w:val="center"/>
        </w:trPr>
        <w:tc>
          <w:tcPr>
            <w:tcW w:w="5672" w:type="dxa"/>
            <w:tcBorders>
              <w:bottom w:val="nil"/>
            </w:tcBorders>
            <w:vAlign w:val="center"/>
          </w:tcPr>
          <w:p w14:paraId="71628C79" w14:textId="5F0560F5" w:rsidR="00B567E4" w:rsidRPr="0063233F" w:rsidRDefault="00B567E4" w:rsidP="00B567E4">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065F2B35" w:rsidR="00B567E4" w:rsidRPr="00B567E4" w:rsidRDefault="00B567E4" w:rsidP="00B567E4">
            <w:pPr>
              <w:pStyle w:val="TEXTAB"/>
              <w:spacing w:after="0"/>
              <w:ind w:right="237"/>
              <w:jc w:val="right"/>
              <w:rPr>
                <w:sz w:val="12"/>
                <w:szCs w:val="12"/>
                <w:lang w:val="es-ES_tradnl"/>
              </w:rPr>
            </w:pPr>
            <w:r w:rsidRPr="00B567E4">
              <w:rPr>
                <w:sz w:val="12"/>
                <w:szCs w:val="12"/>
              </w:rPr>
              <w:t xml:space="preserve">31,262 </w:t>
            </w:r>
          </w:p>
        </w:tc>
        <w:tc>
          <w:tcPr>
            <w:tcW w:w="1418" w:type="dxa"/>
            <w:tcBorders>
              <w:bottom w:val="single" w:sz="4" w:space="0" w:color="auto"/>
            </w:tcBorders>
          </w:tcPr>
          <w:p w14:paraId="4FE6AFA4" w14:textId="000C1F8B"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7052E0F4" w:rsidR="009F50D5" w:rsidRDefault="00435945" w:rsidP="009F50D5">
            <w:pPr>
              <w:pStyle w:val="TEXTAB"/>
              <w:spacing w:after="0"/>
              <w:ind w:right="237"/>
              <w:jc w:val="right"/>
              <w:rPr>
                <w:sz w:val="12"/>
                <w:szCs w:val="12"/>
                <w:lang w:val="es-ES_tradnl"/>
              </w:rPr>
            </w:pPr>
            <w:r w:rsidRPr="00435945">
              <w:rPr>
                <w:sz w:val="12"/>
                <w:szCs w:val="12"/>
                <w:lang w:val="es-ES_tradnl"/>
              </w:rPr>
              <w:t>39,718,010</w:t>
            </w:r>
          </w:p>
        </w:tc>
        <w:tc>
          <w:tcPr>
            <w:tcW w:w="1418" w:type="dxa"/>
            <w:tcBorders>
              <w:top w:val="single" w:sz="4" w:space="0" w:color="auto"/>
            </w:tcBorders>
            <w:vAlign w:val="center"/>
          </w:tcPr>
          <w:p w14:paraId="41591F14" w14:textId="55A650E1" w:rsidR="009F50D5" w:rsidRDefault="00435945" w:rsidP="00EF1D02">
            <w:pPr>
              <w:pStyle w:val="TEXTAB"/>
              <w:spacing w:after="0"/>
              <w:ind w:right="237"/>
              <w:jc w:val="right"/>
              <w:rPr>
                <w:sz w:val="12"/>
                <w:szCs w:val="12"/>
                <w:lang w:val="es-ES_tradnl"/>
              </w:rPr>
            </w:pPr>
            <w:r w:rsidRPr="00435945">
              <w:rPr>
                <w:sz w:val="12"/>
                <w:szCs w:val="12"/>
                <w:lang w:val="es-ES_tradnl"/>
              </w:rPr>
              <w:t>40,079,207</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B567E4" w:rsidRPr="0063233F" w14:paraId="1DA17F72" w14:textId="77777777" w:rsidTr="00B100F9">
        <w:trPr>
          <w:trHeight w:val="114"/>
          <w:jc w:val="center"/>
        </w:trPr>
        <w:tc>
          <w:tcPr>
            <w:tcW w:w="5672" w:type="dxa"/>
            <w:tcBorders>
              <w:bottom w:val="nil"/>
            </w:tcBorders>
            <w:vAlign w:val="center"/>
          </w:tcPr>
          <w:p w14:paraId="25B0F274" w14:textId="6C6587C5" w:rsidR="00B567E4" w:rsidRPr="0063233F" w:rsidRDefault="00B567E4" w:rsidP="00B567E4">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2F1A997A" w:rsidR="00B567E4" w:rsidRPr="00B567E4" w:rsidRDefault="00435945" w:rsidP="00B567E4">
            <w:pPr>
              <w:pStyle w:val="TEXTAB"/>
              <w:spacing w:after="0"/>
              <w:ind w:right="237"/>
              <w:jc w:val="right"/>
              <w:rPr>
                <w:sz w:val="12"/>
                <w:szCs w:val="12"/>
                <w:lang w:val="es-ES_tradnl"/>
              </w:rPr>
            </w:pPr>
            <w:r w:rsidRPr="00435945">
              <w:rPr>
                <w:sz w:val="12"/>
                <w:szCs w:val="12"/>
              </w:rPr>
              <w:t>5,122,200</w:t>
            </w:r>
          </w:p>
        </w:tc>
        <w:tc>
          <w:tcPr>
            <w:tcW w:w="1418" w:type="dxa"/>
            <w:tcBorders>
              <w:bottom w:val="nil"/>
            </w:tcBorders>
            <w:vAlign w:val="center"/>
          </w:tcPr>
          <w:p w14:paraId="38BBF48C" w14:textId="1CCBD2D1" w:rsidR="00B567E4" w:rsidRPr="00B567E4" w:rsidRDefault="00435945" w:rsidP="00B567E4">
            <w:pPr>
              <w:pStyle w:val="TEXTAB"/>
              <w:spacing w:after="0"/>
              <w:ind w:right="237"/>
              <w:jc w:val="right"/>
              <w:rPr>
                <w:sz w:val="12"/>
                <w:szCs w:val="12"/>
                <w:lang w:val="es-ES_tradnl"/>
              </w:rPr>
            </w:pPr>
            <w:r w:rsidRPr="00435945">
              <w:rPr>
                <w:sz w:val="12"/>
                <w:szCs w:val="12"/>
                <w:lang w:val="es-ES_tradnl"/>
              </w:rPr>
              <w:t>4,252,200</w:t>
            </w:r>
          </w:p>
        </w:tc>
      </w:tr>
      <w:tr w:rsidR="00B567E4" w:rsidRPr="0063233F" w14:paraId="0145A2A6" w14:textId="77777777" w:rsidTr="00831106">
        <w:trPr>
          <w:trHeight w:val="280"/>
          <w:jc w:val="center"/>
        </w:trPr>
        <w:tc>
          <w:tcPr>
            <w:tcW w:w="5672" w:type="dxa"/>
            <w:tcBorders>
              <w:bottom w:val="nil"/>
            </w:tcBorders>
            <w:vAlign w:val="center"/>
          </w:tcPr>
          <w:p w14:paraId="0CFE0C1C" w14:textId="0954A0C8" w:rsidR="00B567E4" w:rsidRDefault="00B567E4" w:rsidP="00831106">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21BD2F3F" w:rsidR="00B567E4" w:rsidRPr="00B567E4" w:rsidRDefault="00435945" w:rsidP="00831106">
            <w:pPr>
              <w:pStyle w:val="TEXTAB"/>
              <w:spacing w:after="0"/>
              <w:ind w:right="237"/>
              <w:jc w:val="right"/>
              <w:rPr>
                <w:sz w:val="12"/>
                <w:szCs w:val="12"/>
                <w:lang w:val="es-ES_tradnl"/>
              </w:rPr>
            </w:pPr>
            <w:r w:rsidRPr="00435945">
              <w:rPr>
                <w:sz w:val="12"/>
                <w:szCs w:val="12"/>
              </w:rPr>
              <w:t>22,045</w:t>
            </w:r>
          </w:p>
        </w:tc>
        <w:tc>
          <w:tcPr>
            <w:tcW w:w="1418" w:type="dxa"/>
            <w:tcBorders>
              <w:bottom w:val="nil"/>
            </w:tcBorders>
            <w:vAlign w:val="center"/>
          </w:tcPr>
          <w:p w14:paraId="2C0CC746" w14:textId="33AD21B8" w:rsidR="00B567E4" w:rsidRPr="00B567E4" w:rsidRDefault="006D6703" w:rsidP="00831106">
            <w:pPr>
              <w:pStyle w:val="TEXTAB"/>
              <w:spacing w:after="0"/>
              <w:ind w:right="237"/>
              <w:jc w:val="right"/>
              <w:rPr>
                <w:sz w:val="12"/>
                <w:szCs w:val="12"/>
                <w:lang w:val="es-ES_tradnl"/>
              </w:rPr>
            </w:pPr>
            <w:r>
              <w:rPr>
                <w:sz w:val="12"/>
                <w:szCs w:val="12"/>
                <w:lang w:val="es-ES_tradnl"/>
              </w:rPr>
              <w:t>13,604</w:t>
            </w:r>
          </w:p>
        </w:tc>
      </w:tr>
      <w:tr w:rsidR="00B567E4" w:rsidRPr="0063233F" w14:paraId="5523950B" w14:textId="77777777" w:rsidTr="00B567E4">
        <w:trPr>
          <w:trHeight w:val="280"/>
          <w:jc w:val="center"/>
        </w:trPr>
        <w:tc>
          <w:tcPr>
            <w:tcW w:w="5672" w:type="dxa"/>
            <w:tcBorders>
              <w:bottom w:val="nil"/>
            </w:tcBorders>
            <w:vAlign w:val="center"/>
          </w:tcPr>
          <w:p w14:paraId="57A2F10F" w14:textId="0E167892" w:rsidR="00B567E4" w:rsidRPr="0063233F" w:rsidRDefault="00B567E4" w:rsidP="00B567E4">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5E12DD00" w:rsidR="00B567E4" w:rsidRPr="00B567E4" w:rsidRDefault="00435945" w:rsidP="00B567E4">
            <w:pPr>
              <w:pStyle w:val="TEXTAB"/>
              <w:spacing w:after="0"/>
              <w:ind w:right="237"/>
              <w:jc w:val="right"/>
              <w:rPr>
                <w:sz w:val="12"/>
                <w:szCs w:val="12"/>
                <w:lang w:val="es-ES_tradnl"/>
              </w:rPr>
            </w:pPr>
            <w:r w:rsidRPr="00435945">
              <w:rPr>
                <w:sz w:val="12"/>
                <w:szCs w:val="12"/>
              </w:rPr>
              <w:t>6,022,509</w:t>
            </w:r>
          </w:p>
        </w:tc>
        <w:tc>
          <w:tcPr>
            <w:tcW w:w="1418" w:type="dxa"/>
            <w:tcBorders>
              <w:top w:val="nil"/>
              <w:bottom w:val="single" w:sz="4" w:space="0" w:color="auto"/>
            </w:tcBorders>
            <w:vAlign w:val="center"/>
          </w:tcPr>
          <w:p w14:paraId="18FDA159" w14:textId="16C79334" w:rsidR="00B567E4" w:rsidRPr="00B567E4" w:rsidRDefault="00435945" w:rsidP="00B567E4">
            <w:pPr>
              <w:pStyle w:val="TEXTAB"/>
              <w:spacing w:after="0"/>
              <w:ind w:right="237"/>
              <w:jc w:val="right"/>
              <w:rPr>
                <w:sz w:val="12"/>
                <w:szCs w:val="12"/>
                <w:lang w:val="es-ES_tradnl"/>
              </w:rPr>
            </w:pPr>
            <w:r w:rsidRPr="00435945">
              <w:rPr>
                <w:sz w:val="12"/>
                <w:szCs w:val="12"/>
                <w:lang w:val="es-ES_tradnl"/>
              </w:rPr>
              <w:t>5,596,133</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6FCF4914" w:rsidR="007D6599" w:rsidRDefault="00435945" w:rsidP="007D6599">
            <w:pPr>
              <w:pStyle w:val="TEXTAB"/>
              <w:spacing w:after="0"/>
              <w:ind w:right="237"/>
              <w:jc w:val="right"/>
              <w:rPr>
                <w:sz w:val="12"/>
                <w:szCs w:val="12"/>
                <w:lang w:val="es-ES_tradnl"/>
              </w:rPr>
            </w:pPr>
            <w:r w:rsidRPr="00435945">
              <w:rPr>
                <w:sz w:val="12"/>
                <w:szCs w:val="12"/>
                <w:lang w:val="es-ES_tradnl"/>
              </w:rPr>
              <w:t>11,166,754</w:t>
            </w:r>
          </w:p>
        </w:tc>
        <w:tc>
          <w:tcPr>
            <w:tcW w:w="1418" w:type="dxa"/>
            <w:tcBorders>
              <w:top w:val="single" w:sz="4" w:space="0" w:color="auto"/>
              <w:bottom w:val="double" w:sz="4" w:space="0" w:color="auto"/>
            </w:tcBorders>
            <w:vAlign w:val="center"/>
          </w:tcPr>
          <w:p w14:paraId="36AA7828" w14:textId="2121A83C" w:rsidR="007D6599" w:rsidRDefault="00435945" w:rsidP="00435945">
            <w:pPr>
              <w:pStyle w:val="TEXTAB"/>
              <w:spacing w:after="0"/>
              <w:ind w:right="237"/>
              <w:jc w:val="right"/>
              <w:rPr>
                <w:sz w:val="12"/>
                <w:szCs w:val="12"/>
                <w:lang w:val="es-ES_tradnl"/>
              </w:rPr>
            </w:pPr>
            <w:r>
              <w:rPr>
                <w:sz w:val="12"/>
                <w:szCs w:val="12"/>
                <w:lang w:val="es-ES_tradnl"/>
              </w:rPr>
              <w:t>9,861,937</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1A5976BD" w:rsidR="007D6599" w:rsidRPr="0063233F" w:rsidRDefault="00435945" w:rsidP="008C32F6">
            <w:pPr>
              <w:pStyle w:val="TEXTAB"/>
              <w:spacing w:after="0"/>
              <w:ind w:right="237"/>
              <w:jc w:val="right"/>
              <w:rPr>
                <w:sz w:val="12"/>
                <w:szCs w:val="12"/>
                <w:lang w:val="es-ES_tradnl"/>
              </w:rPr>
            </w:pPr>
            <w:r>
              <w:rPr>
                <w:sz w:val="12"/>
                <w:szCs w:val="12"/>
                <w:lang w:val="es-ES_tradnl"/>
              </w:rPr>
              <w:t>50,884,764</w:t>
            </w:r>
          </w:p>
        </w:tc>
        <w:tc>
          <w:tcPr>
            <w:tcW w:w="1418" w:type="dxa"/>
            <w:shd w:val="clear" w:color="auto" w:fill="D2D3D5"/>
            <w:vAlign w:val="center"/>
          </w:tcPr>
          <w:p w14:paraId="02527ECF" w14:textId="466DFA11" w:rsidR="007D6599" w:rsidRPr="0063233F" w:rsidRDefault="00435945" w:rsidP="007D6599">
            <w:pPr>
              <w:pStyle w:val="TEXTAB"/>
              <w:spacing w:after="0"/>
              <w:ind w:right="237"/>
              <w:jc w:val="right"/>
              <w:rPr>
                <w:sz w:val="12"/>
                <w:szCs w:val="12"/>
                <w:lang w:val="es-ES_tradnl"/>
              </w:rPr>
            </w:pPr>
            <w:r>
              <w:rPr>
                <w:sz w:val="12"/>
                <w:szCs w:val="12"/>
                <w:lang w:val="es-ES_tradnl"/>
              </w:rPr>
              <w:t>49,941,144</w:t>
            </w:r>
          </w:p>
        </w:tc>
      </w:tr>
    </w:tbl>
    <w:p w14:paraId="30C4FFD0" w14:textId="77777777" w:rsidR="00B2580E" w:rsidRDefault="00B2580E" w:rsidP="00B2580E">
      <w:pPr>
        <w:pStyle w:val="documento"/>
      </w:pPr>
    </w:p>
    <w:p w14:paraId="4FA9C012" w14:textId="5E35FBEC" w:rsidR="00C86E22" w:rsidRDefault="0000342C" w:rsidP="00254975">
      <w:pPr>
        <w:pStyle w:val="documento"/>
        <w:tabs>
          <w:tab w:val="left" w:pos="567"/>
        </w:tabs>
      </w:pPr>
      <w:r>
        <w:t xml:space="preserve">Se realizó la baja de bienes muebles propiedad del Instituto, de conformidad con los contratos de donación </w:t>
      </w:r>
      <w:proofErr w:type="spellStart"/>
      <w:r>
        <w:t>núms</w:t>
      </w:r>
      <w:proofErr w:type="spellEnd"/>
      <w:r>
        <w:t xml:space="preserve">. C-DON-INFO/001/2021 y C-DON-INFO/002/2021, que constaron de 106 bienes muebles </w:t>
      </w:r>
      <w:r w:rsidR="005D46AF">
        <w:t xml:space="preserve">al Heroico Cuerpo de Bomberos de la Ciudad de México, y 50 bienes a la Asociación Civil, Casa de Muñecas Tiresias, A.C.; respectivamente, así mismo, la baja de una microcomputadora y dos vehículos que se dieron de baja debido a la </w:t>
      </w:r>
      <w:proofErr w:type="spellStart"/>
      <w:r w:rsidR="005D46AF">
        <w:t>dictaminación</w:t>
      </w:r>
      <w:proofErr w:type="spellEnd"/>
      <w:r w:rsidR="005D46AF">
        <w:t xml:space="preserve"> por parte de la Aseguradora como pérdida total debido a que sufrieron siniestros.</w:t>
      </w:r>
    </w:p>
    <w:p w14:paraId="66888C8F" w14:textId="77777777" w:rsidR="008D0E22" w:rsidRPr="0000342C" w:rsidRDefault="008D0E22" w:rsidP="00B2580E">
      <w:pPr>
        <w:pStyle w:val="documento"/>
      </w:pPr>
    </w:p>
    <w:p w14:paraId="4B61B4D0" w14:textId="77777777" w:rsidR="00E7456E" w:rsidRDefault="00E7456E" w:rsidP="00B2580E">
      <w:pPr>
        <w:pStyle w:val="documento"/>
        <w:rPr>
          <w:b/>
        </w:rPr>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Corresponde a 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095A9954" w:rsidR="00E21E85" w:rsidRPr="00E20CDA" w:rsidRDefault="00A86AAC" w:rsidP="004638F7">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5264A620" w:rsidR="00E21E85" w:rsidRPr="00E20CDA" w:rsidRDefault="00C26954" w:rsidP="00C26954">
            <w:pPr>
              <w:spacing w:after="0" w:line="240" w:lineRule="auto"/>
              <w:ind w:left="0" w:right="380" w:firstLine="0"/>
              <w:jc w:val="right"/>
              <w:rPr>
                <w:rFonts w:ascii="Gotham Rounded Book" w:hAnsi="Gotham Rounded Book"/>
                <w:sz w:val="20"/>
                <w:szCs w:val="20"/>
              </w:rPr>
            </w:pPr>
            <w:r w:rsidRPr="00C26954">
              <w:rPr>
                <w:rFonts w:ascii="Gotham Rounded Book" w:hAnsi="Gotham Rounded Book"/>
                <w:sz w:val="20"/>
                <w:szCs w:val="20"/>
              </w:rPr>
              <w:t>174,264</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36FB53BA" w:rsidR="00A952F6" w:rsidRPr="00F03781" w:rsidRDefault="00C26954" w:rsidP="00C26954">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217,157</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0D5B7A53" w:rsidR="00E21E85" w:rsidRPr="00A952F6" w:rsidRDefault="00C26954" w:rsidP="00C26954">
            <w:pPr>
              <w:spacing w:after="0" w:line="240" w:lineRule="auto"/>
              <w:ind w:left="0" w:right="380" w:firstLine="0"/>
              <w:jc w:val="right"/>
              <w:rPr>
                <w:rFonts w:ascii="Gotham Rounded Book" w:hAnsi="Gotham Rounded Book"/>
                <w:sz w:val="20"/>
                <w:szCs w:val="20"/>
              </w:rPr>
            </w:pPr>
            <w:r w:rsidRPr="00C26954">
              <w:rPr>
                <w:rFonts w:ascii="Gotham Rounded Book" w:hAnsi="Gotham Rounded Book"/>
                <w:sz w:val="20"/>
                <w:szCs w:val="20"/>
              </w:rPr>
              <w:t>180,365</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3F740413" w:rsidR="00A952F6" w:rsidRPr="00A952F6" w:rsidRDefault="00C26954" w:rsidP="00C26954">
            <w:pPr>
              <w:spacing w:after="0" w:line="240" w:lineRule="auto"/>
              <w:ind w:left="0" w:right="380" w:firstLine="0"/>
              <w:jc w:val="right"/>
              <w:rPr>
                <w:rFonts w:ascii="Gotham Rounded Book" w:hAnsi="Gotham Rounded Book"/>
                <w:sz w:val="20"/>
                <w:szCs w:val="20"/>
              </w:rPr>
            </w:pPr>
            <w:r w:rsidRPr="00C26954">
              <w:rPr>
                <w:rFonts w:ascii="Gotham Rounded Book" w:hAnsi="Gotham Rounded Book"/>
                <w:sz w:val="20"/>
                <w:szCs w:val="20"/>
              </w:rPr>
              <w:t>105,194</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07000419" w:rsidR="00E21E85" w:rsidRPr="00C95A40" w:rsidRDefault="00E21E85" w:rsidP="00C26954">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C26954" w:rsidRPr="00C26954">
              <w:rPr>
                <w:rFonts w:ascii="Gotham Rounded Book" w:hAnsi="Gotham Rounded Book"/>
                <w:b/>
                <w:sz w:val="20"/>
                <w:szCs w:val="20"/>
              </w:rPr>
              <w:t>676,980</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23A76B1B" w:rsidR="002D581E" w:rsidRPr="00E20CDA" w:rsidRDefault="008D0A0D" w:rsidP="00C70875">
            <w:pPr>
              <w:spacing w:after="0" w:line="240" w:lineRule="auto"/>
              <w:ind w:left="0" w:right="282" w:firstLine="0"/>
              <w:jc w:val="right"/>
              <w:rPr>
                <w:rFonts w:ascii="Gotham Rounded Book" w:hAnsi="Gotham Rounded Book"/>
                <w:sz w:val="20"/>
                <w:szCs w:val="20"/>
              </w:rPr>
            </w:pPr>
            <w:r>
              <w:rPr>
                <w:rFonts w:ascii="Gotham Rounded Book" w:hAnsi="Gotham Rounded Book"/>
                <w:sz w:val="20"/>
                <w:szCs w:val="20"/>
              </w:rPr>
              <w:t>66,220</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4410821D" w:rsidR="006E0363" w:rsidRDefault="006E0363" w:rsidP="000904AB">
            <w:pPr>
              <w:spacing w:after="0" w:line="240" w:lineRule="auto"/>
              <w:ind w:left="0" w:firstLine="0"/>
              <w:jc w:val="right"/>
              <w:rPr>
                <w:rFonts w:ascii="Gotham Rounded Book" w:hAnsi="Gotham Rounded Book"/>
                <w:sz w:val="20"/>
                <w:szCs w:val="20"/>
              </w:rPr>
            </w:pP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64797889" w:rsidR="00421273" w:rsidRDefault="00421273" w:rsidP="00C70875">
            <w:pPr>
              <w:spacing w:after="0" w:line="240" w:lineRule="auto"/>
              <w:ind w:left="0" w:right="74" w:firstLine="0"/>
              <w:jc w:val="right"/>
              <w:rPr>
                <w:rFonts w:ascii="Gotham Rounded Book" w:hAnsi="Gotham Rounded Book"/>
                <w:sz w:val="20"/>
                <w:szCs w:val="20"/>
              </w:rPr>
            </w:pP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4FE6A2F8" w:rsidR="00D15155" w:rsidRDefault="00D15155" w:rsidP="00C70875">
            <w:pPr>
              <w:spacing w:after="0" w:line="240" w:lineRule="auto"/>
              <w:ind w:left="0" w:right="74" w:firstLine="0"/>
              <w:jc w:val="right"/>
              <w:rPr>
                <w:rFonts w:ascii="Gotham Rounded Book" w:hAnsi="Gotham Rounded Book"/>
                <w:sz w:val="20"/>
                <w:szCs w:val="20"/>
              </w:rPr>
            </w:pP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3FEC504C" w:rsidR="00343239" w:rsidRPr="007F4D69" w:rsidRDefault="00343239" w:rsidP="0075587B">
            <w:pPr>
              <w:spacing w:after="0" w:line="240" w:lineRule="auto"/>
              <w:ind w:left="0" w:right="74" w:firstLine="0"/>
              <w:jc w:val="right"/>
              <w:rPr>
                <w:rFonts w:ascii="Gotham Rounded Book" w:hAnsi="Gotham Rounded Book"/>
                <w:sz w:val="20"/>
                <w:szCs w:val="20"/>
              </w:rPr>
            </w:pP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217DFA40" w:rsidR="00343239" w:rsidRPr="007F4D69" w:rsidRDefault="00343239" w:rsidP="0075587B">
            <w:pPr>
              <w:spacing w:after="0" w:line="240" w:lineRule="auto"/>
              <w:ind w:left="0" w:right="74" w:firstLine="0"/>
              <w:jc w:val="right"/>
              <w:rPr>
                <w:rFonts w:ascii="Gotham Rounded Book" w:hAnsi="Gotham Rounded Book"/>
                <w:sz w:val="20"/>
                <w:szCs w:val="20"/>
              </w:rPr>
            </w:pP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315245B7" w:rsidR="00343239" w:rsidRPr="007F4D69" w:rsidRDefault="00343239" w:rsidP="0075587B">
            <w:pPr>
              <w:spacing w:after="0" w:line="240" w:lineRule="auto"/>
              <w:ind w:left="0" w:right="74" w:firstLine="0"/>
              <w:jc w:val="right"/>
              <w:rPr>
                <w:rFonts w:ascii="Gotham Rounded Book" w:hAnsi="Gotham Rounded Book"/>
                <w:sz w:val="20"/>
                <w:szCs w:val="20"/>
              </w:rPr>
            </w:pP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13A6B50A" w:rsidR="00343239" w:rsidRPr="007F4D69" w:rsidRDefault="008D0A0D" w:rsidP="008D0A0D">
            <w:pPr>
              <w:spacing w:after="0" w:line="240" w:lineRule="auto"/>
              <w:ind w:left="0" w:right="74" w:firstLine="0"/>
              <w:jc w:val="right"/>
              <w:rPr>
                <w:rFonts w:ascii="Gotham Rounded Book" w:hAnsi="Gotham Rounded Book"/>
                <w:sz w:val="20"/>
                <w:szCs w:val="20"/>
              </w:rPr>
            </w:pPr>
            <w:r w:rsidRPr="008D0A0D">
              <w:rPr>
                <w:rFonts w:ascii="Gotham Rounded Book" w:hAnsi="Gotham Rounded Book"/>
                <w:sz w:val="20"/>
                <w:szCs w:val="20"/>
              </w:rPr>
              <w:t>217,422</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19A9D48B" w:rsidR="00343239" w:rsidRPr="007F4D69" w:rsidRDefault="00343239" w:rsidP="0075587B">
            <w:pPr>
              <w:spacing w:after="0" w:line="240" w:lineRule="auto"/>
              <w:ind w:left="0" w:right="74" w:firstLine="0"/>
              <w:jc w:val="right"/>
              <w:rPr>
                <w:rFonts w:ascii="Gotham Rounded Book" w:hAnsi="Gotham Rounded Book"/>
                <w:sz w:val="20"/>
                <w:szCs w:val="20"/>
              </w:rPr>
            </w:pP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4C3F86CB" w:rsidR="007F4D69" w:rsidRPr="007F4D69" w:rsidRDefault="007F4D69" w:rsidP="00C70875">
            <w:pPr>
              <w:spacing w:after="0" w:line="240" w:lineRule="auto"/>
              <w:ind w:left="0" w:right="74" w:firstLine="0"/>
              <w:jc w:val="right"/>
              <w:rPr>
                <w:rFonts w:ascii="Gotham Rounded Book" w:hAnsi="Gotham Rounded Book"/>
                <w:sz w:val="20"/>
                <w:szCs w:val="20"/>
              </w:rPr>
            </w:pP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proofErr w:type="spellStart"/>
            <w:r w:rsidRPr="00CA643A">
              <w:rPr>
                <w:rFonts w:ascii="Gotham Rounded Book" w:hAnsi="Gotham Rounded Book"/>
                <w:sz w:val="20"/>
                <w:szCs w:val="20"/>
              </w:rPr>
              <w:t>Fonacot</w:t>
            </w:r>
            <w:proofErr w:type="spellEnd"/>
          </w:p>
        </w:tc>
        <w:tc>
          <w:tcPr>
            <w:tcW w:w="1494" w:type="dxa"/>
            <w:gridSpan w:val="3"/>
            <w:tcBorders>
              <w:left w:val="nil"/>
              <w:right w:val="nil"/>
            </w:tcBorders>
            <w:shd w:val="clear" w:color="auto" w:fill="auto"/>
            <w:noWrap/>
            <w:vAlign w:val="bottom"/>
          </w:tcPr>
          <w:p w14:paraId="26F1BF50" w14:textId="3C22E49A" w:rsidR="007F4D69" w:rsidRPr="00CA643A" w:rsidRDefault="007F4D69" w:rsidP="00C70875">
            <w:pPr>
              <w:spacing w:after="0" w:line="240" w:lineRule="auto"/>
              <w:ind w:left="0" w:right="74" w:firstLine="0"/>
              <w:jc w:val="right"/>
              <w:rPr>
                <w:rFonts w:ascii="Gotham Rounded Book" w:hAnsi="Gotham Rounded Book"/>
                <w:sz w:val="20"/>
                <w:szCs w:val="20"/>
              </w:rPr>
            </w:pP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37C41B4A" w:rsidR="00584F90" w:rsidRPr="00584F90" w:rsidRDefault="008D0A0D" w:rsidP="008D0A0D">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32,368</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473096EE" w:rsidR="00BB76D0" w:rsidRPr="00E05A89" w:rsidRDefault="00BB76D0" w:rsidP="008D0A0D">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8D0A0D" w:rsidRPr="008D0A0D">
              <w:rPr>
                <w:rFonts w:ascii="Gotham Rounded Book" w:hAnsi="Gotham Rounded Book"/>
                <w:b/>
                <w:sz w:val="20"/>
                <w:szCs w:val="20"/>
              </w:rPr>
              <w:t>316,0</w:t>
            </w:r>
            <w:r w:rsidR="008D0A0D">
              <w:rPr>
                <w:rFonts w:ascii="Gotham Rounded Book" w:hAnsi="Gotham Rounded Book"/>
                <w:b/>
                <w:sz w:val="20"/>
                <w:szCs w:val="20"/>
              </w:rPr>
              <w:t>10</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3CE55398" w:rsidR="00372E35" w:rsidRPr="00E20CDA" w:rsidRDefault="0072101C" w:rsidP="00372E35">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176,849</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29BAEA82" w:rsidR="00BB76D0" w:rsidRPr="00E20CDA" w:rsidRDefault="0072101C" w:rsidP="0072101C">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60,367</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4AF8C387" w:rsidR="00BB76D0" w:rsidRPr="00E20CDA" w:rsidRDefault="00BB76D0" w:rsidP="00BB387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w:t>
            </w:r>
            <w:r w:rsidR="00C70875">
              <w:rPr>
                <w:rFonts w:ascii="Gotham Rounded Book" w:hAnsi="Gotham Rounded Book"/>
                <w:sz w:val="20"/>
                <w:szCs w:val="20"/>
              </w:rPr>
              <w:t>5</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6955420B" w:rsidR="00BB76D0" w:rsidRPr="004E31C5" w:rsidRDefault="00BB76D0" w:rsidP="0072101C">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72101C" w:rsidRPr="0072101C">
              <w:rPr>
                <w:rFonts w:ascii="Gotham Rounded Book" w:hAnsi="Gotham Rounded Book"/>
                <w:b/>
                <w:sz w:val="20"/>
                <w:szCs w:val="20"/>
              </w:rPr>
              <w:t>440,131</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7777777"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1D2C6348" w14:textId="77777777" w:rsidR="007D14AE" w:rsidRDefault="007D14AE" w:rsidP="00CF79FB">
      <w:pPr>
        <w:pStyle w:val="ROMANOS"/>
        <w:spacing w:after="0" w:line="240" w:lineRule="exact"/>
        <w:ind w:left="0" w:firstLine="0"/>
        <w:rPr>
          <w:rFonts w:ascii="Gotham Rounded Book" w:hAnsi="Gotham Rounded Book"/>
          <w:sz w:val="22"/>
          <w:szCs w:val="22"/>
        </w:rPr>
      </w:pPr>
    </w:p>
    <w:p w14:paraId="4AE97F32" w14:textId="77777777" w:rsidR="007D14AE" w:rsidRDefault="007D14AE" w:rsidP="00CF79FB">
      <w:pPr>
        <w:pStyle w:val="ROMANOS"/>
        <w:spacing w:after="0" w:line="240" w:lineRule="exact"/>
        <w:ind w:left="0" w:firstLine="0"/>
        <w:rPr>
          <w:rFonts w:ascii="Gotham Rounded Book" w:hAnsi="Gotham Rounded Book"/>
          <w:sz w:val="22"/>
          <w:szCs w:val="22"/>
        </w:rPr>
      </w:pPr>
    </w:p>
    <w:p w14:paraId="7AC18A49" w14:textId="77777777" w:rsidR="007D14AE" w:rsidRDefault="007D14AE" w:rsidP="00CF79FB">
      <w:pPr>
        <w:pStyle w:val="ROMANOS"/>
        <w:spacing w:after="0" w:line="240" w:lineRule="exact"/>
        <w:ind w:left="0" w:firstLine="0"/>
        <w:rPr>
          <w:rFonts w:ascii="Gotham Rounded Book" w:hAnsi="Gotham Rounded Book"/>
          <w:sz w:val="22"/>
          <w:szCs w:val="22"/>
        </w:rPr>
      </w:pPr>
    </w:p>
    <w:p w14:paraId="6DE30CA6" w14:textId="77777777" w:rsidR="007D14AE" w:rsidRDefault="007D14AE" w:rsidP="00CF79FB">
      <w:pPr>
        <w:pStyle w:val="ROMANOS"/>
        <w:spacing w:after="0" w:line="240" w:lineRule="exact"/>
        <w:ind w:left="0" w:firstLine="0"/>
        <w:rPr>
          <w:rFonts w:ascii="Gotham Rounded Book" w:hAnsi="Gotham Rounded Book"/>
          <w:sz w:val="22"/>
          <w:szCs w:val="22"/>
        </w:rPr>
      </w:pPr>
    </w:p>
    <w:p w14:paraId="3A693F81" w14:textId="77777777" w:rsidR="007D14AE" w:rsidRDefault="007D14AE" w:rsidP="00CF79FB">
      <w:pPr>
        <w:pStyle w:val="ROMANOS"/>
        <w:spacing w:after="0" w:line="240" w:lineRule="exact"/>
        <w:ind w:left="0" w:firstLine="0"/>
        <w:rPr>
          <w:rFonts w:ascii="Gotham Rounded Book" w:hAnsi="Gotham Rounded Book"/>
          <w:sz w:val="22"/>
          <w:szCs w:val="22"/>
        </w:rPr>
      </w:pPr>
    </w:p>
    <w:p w14:paraId="72B613CC" w14:textId="77777777" w:rsidR="007D14AE" w:rsidRDefault="007D14AE"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5605A0B6" w:rsidR="007D14AE" w:rsidRDefault="007D14AE" w:rsidP="007D14AE">
      <w:pPr>
        <w:pStyle w:val="documento"/>
      </w:pPr>
      <w:r>
        <w:t xml:space="preserve">El Instituto recaudó ingresos por </w:t>
      </w:r>
      <w:r w:rsidR="00702BA8" w:rsidRPr="00702BA8">
        <w:t>147</w:t>
      </w:r>
      <w:proofErr w:type="gramStart"/>
      <w:r w:rsidR="00702BA8" w:rsidRPr="00702BA8">
        <w:t>,868,308.00</w:t>
      </w:r>
      <w:proofErr w:type="gramEnd"/>
      <w:r w:rsidR="00C447CC">
        <w:t>,</w:t>
      </w:r>
      <w:r>
        <w:t xml:space="preserve"> pesos que corresponden a las Transferencias Internas y Asignaciones al Sector Público de la Secretaría de Administración y Finanzas del Gobierno de la Ciudad de México, para la operación del Instituto. </w:t>
      </w:r>
      <w:r w:rsidR="00702BA8">
        <w:t>Asimismo, el Instituto de Transparencia, Acceso a la Información Pública,  Protección de Datos Personales  y Rendición de Cuentas de la Ciudad de México, reintegró a la Secretaría de Administración y F</w:t>
      </w:r>
      <w:r w:rsidR="00C30BE5">
        <w:t>inanzas, el d</w:t>
      </w:r>
      <w:r w:rsidR="00D113D8">
        <w:t>ía 4 de enero de 2022</w:t>
      </w:r>
      <w:r w:rsidR="00C30BE5">
        <w:t>,  la cantidad de 381,798 pesos, por concepto de recursos fiscales no ejercidos.</w:t>
      </w:r>
      <w:r w:rsidR="00A0591F">
        <w:t xml:space="preserve"> Quedando un total de </w:t>
      </w:r>
      <w:r w:rsidR="00A0591F" w:rsidRPr="00A0591F">
        <w:t>147</w:t>
      </w:r>
      <w:proofErr w:type="gramStart"/>
      <w:r w:rsidR="00A0591F" w:rsidRPr="00A0591F">
        <w:t>,486,510</w:t>
      </w:r>
      <w:proofErr w:type="gramEnd"/>
      <w:r w:rsidR="00A0591F">
        <w:t xml:space="preserve">, ejercidos de recursos </w:t>
      </w:r>
      <w:r w:rsidR="00491CD6">
        <w:t>fiscales en el ejercicio 2021</w:t>
      </w:r>
      <w:r w:rsidR="00A0591F">
        <w:t>.</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7C19B6EC" w:rsidR="00B2580E" w:rsidRPr="00272BD4" w:rsidRDefault="00C67F39" w:rsidP="008E01B1">
            <w:pPr>
              <w:pStyle w:val="ENCTAB"/>
              <w:spacing w:after="0"/>
              <w:rPr>
                <w:sz w:val="14"/>
                <w:szCs w:val="14"/>
              </w:rPr>
            </w:pPr>
            <w:r>
              <w:rPr>
                <w:sz w:val="14"/>
                <w:szCs w:val="14"/>
              </w:rPr>
              <w:t>20</w:t>
            </w:r>
            <w:r w:rsidR="00053EB8">
              <w:rPr>
                <w:sz w:val="14"/>
                <w:szCs w:val="14"/>
              </w:rPr>
              <w:t>21</w:t>
            </w:r>
          </w:p>
        </w:tc>
        <w:tc>
          <w:tcPr>
            <w:tcW w:w="1418" w:type="dxa"/>
            <w:shd w:val="clear" w:color="auto" w:fill="D2D3D5"/>
            <w:vAlign w:val="center"/>
          </w:tcPr>
          <w:p w14:paraId="071E907B" w14:textId="68A10638" w:rsidR="00B2580E" w:rsidRPr="00272BD4" w:rsidRDefault="00053EB8" w:rsidP="008E01B1">
            <w:pPr>
              <w:pStyle w:val="ENCTAB"/>
              <w:spacing w:after="0"/>
              <w:rPr>
                <w:sz w:val="14"/>
                <w:szCs w:val="14"/>
              </w:rPr>
            </w:pPr>
            <w:r>
              <w:rPr>
                <w:sz w:val="14"/>
                <w:szCs w:val="14"/>
              </w:rPr>
              <w:t>2020</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5497A633" w:rsidR="00B2580E" w:rsidRPr="0063233F" w:rsidRDefault="00D113D8" w:rsidP="00006836">
            <w:pPr>
              <w:pStyle w:val="TEXTAB"/>
              <w:spacing w:after="0"/>
              <w:ind w:right="237"/>
              <w:jc w:val="right"/>
              <w:rPr>
                <w:sz w:val="12"/>
                <w:szCs w:val="12"/>
                <w:lang w:val="es-ES_tradnl"/>
              </w:rPr>
            </w:pPr>
            <w:r w:rsidRPr="00D113D8">
              <w:rPr>
                <w:sz w:val="12"/>
                <w:szCs w:val="12"/>
                <w:lang w:val="es-ES_tradnl"/>
              </w:rPr>
              <w:t>452,570</w:t>
            </w:r>
          </w:p>
        </w:tc>
        <w:tc>
          <w:tcPr>
            <w:tcW w:w="1418" w:type="dxa"/>
            <w:vAlign w:val="center"/>
          </w:tcPr>
          <w:p w14:paraId="106EDCDA" w14:textId="712B19E3" w:rsidR="00B2580E" w:rsidRPr="0063233F" w:rsidRDefault="00D113D8" w:rsidP="00D113D8">
            <w:pPr>
              <w:pStyle w:val="TEXTAB"/>
              <w:spacing w:after="0"/>
              <w:ind w:right="237"/>
              <w:jc w:val="right"/>
              <w:rPr>
                <w:sz w:val="12"/>
                <w:szCs w:val="12"/>
                <w:lang w:val="es-ES_tradnl"/>
              </w:rPr>
            </w:pPr>
            <w:r>
              <w:rPr>
                <w:sz w:val="12"/>
                <w:szCs w:val="12"/>
                <w:lang w:val="es-ES_tradnl"/>
              </w:rPr>
              <w:t>200,000</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6F6526E3" w:rsidR="00A44101" w:rsidRDefault="00D113D8" w:rsidP="00006836">
            <w:pPr>
              <w:pStyle w:val="TEXTAB"/>
              <w:spacing w:after="0"/>
              <w:ind w:right="237"/>
              <w:jc w:val="right"/>
              <w:rPr>
                <w:sz w:val="12"/>
                <w:szCs w:val="12"/>
                <w:lang w:val="es-ES_tradnl"/>
              </w:rPr>
            </w:pPr>
            <w:r w:rsidRPr="00D113D8">
              <w:rPr>
                <w:sz w:val="12"/>
                <w:szCs w:val="12"/>
                <w:lang w:val="es-ES_tradnl"/>
              </w:rPr>
              <w:t>222,422</w:t>
            </w:r>
          </w:p>
        </w:tc>
        <w:tc>
          <w:tcPr>
            <w:tcW w:w="1418" w:type="dxa"/>
            <w:vAlign w:val="center"/>
          </w:tcPr>
          <w:p w14:paraId="2D565979" w14:textId="1550B637" w:rsidR="00A44101" w:rsidRDefault="00EF1D02" w:rsidP="00006836">
            <w:pPr>
              <w:pStyle w:val="TEXTAB"/>
              <w:spacing w:after="0"/>
              <w:ind w:right="237"/>
              <w:jc w:val="right"/>
              <w:rPr>
                <w:sz w:val="12"/>
                <w:szCs w:val="12"/>
                <w:lang w:val="es-ES_tradnl"/>
              </w:rPr>
            </w:pPr>
            <w:r>
              <w:rPr>
                <w:sz w:val="12"/>
                <w:szCs w:val="12"/>
                <w:lang w:val="es-ES_tradnl"/>
              </w:rPr>
              <w:t>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323688DB" w:rsidR="00C67F39" w:rsidRPr="0063233F" w:rsidRDefault="00D113D8" w:rsidP="00C67F39">
            <w:pPr>
              <w:pStyle w:val="TEXTAB"/>
              <w:spacing w:after="0"/>
              <w:ind w:right="237"/>
              <w:jc w:val="right"/>
              <w:rPr>
                <w:sz w:val="12"/>
                <w:szCs w:val="12"/>
                <w:lang w:val="es-ES_tradnl"/>
              </w:rPr>
            </w:pPr>
            <w:r w:rsidRPr="00D113D8">
              <w:rPr>
                <w:sz w:val="12"/>
                <w:szCs w:val="12"/>
                <w:lang w:val="es-ES_tradnl"/>
              </w:rPr>
              <w:t>674,992</w:t>
            </w:r>
          </w:p>
        </w:tc>
        <w:tc>
          <w:tcPr>
            <w:tcW w:w="1418" w:type="dxa"/>
            <w:shd w:val="clear" w:color="auto" w:fill="D2D3D5"/>
            <w:vAlign w:val="center"/>
          </w:tcPr>
          <w:p w14:paraId="79A1440D" w14:textId="4567119A" w:rsidR="00C67F39" w:rsidRPr="0063233F" w:rsidRDefault="00D113D8" w:rsidP="00C67F39">
            <w:pPr>
              <w:pStyle w:val="TEXTAB"/>
              <w:spacing w:after="0"/>
              <w:ind w:right="237"/>
              <w:jc w:val="right"/>
              <w:rPr>
                <w:sz w:val="12"/>
                <w:szCs w:val="12"/>
                <w:lang w:val="es-ES_tradnl"/>
              </w:rPr>
            </w:pPr>
            <w:r>
              <w:rPr>
                <w:sz w:val="12"/>
                <w:szCs w:val="12"/>
                <w:lang w:val="es-ES_tradnl"/>
              </w:rPr>
              <w:t>200,000</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696268F0" w:rsidR="00FE5ED9" w:rsidRDefault="00DC5397" w:rsidP="001C7FD1">
      <w:pPr>
        <w:pStyle w:val="documento"/>
        <w:numPr>
          <w:ilvl w:val="0"/>
          <w:numId w:val="10"/>
        </w:numPr>
        <w:tabs>
          <w:tab w:val="left" w:pos="567"/>
        </w:tabs>
      </w:pPr>
      <w:r>
        <w:t xml:space="preserve">Servicios Personales </w:t>
      </w:r>
      <w:r w:rsidRPr="00C447CC">
        <w:t>por $</w:t>
      </w:r>
      <w:r w:rsidR="003166C4" w:rsidRPr="003166C4">
        <w:t xml:space="preserve"> </w:t>
      </w:r>
      <w:r w:rsidR="001C7FD1" w:rsidRPr="001C7FD1">
        <w:t>119,523,544</w:t>
      </w:r>
    </w:p>
    <w:p w14:paraId="1E7B3E49" w14:textId="6A750710" w:rsidR="00DC5397" w:rsidRDefault="00DC5397" w:rsidP="00FE5ED9">
      <w:pPr>
        <w:pStyle w:val="documento"/>
        <w:tabs>
          <w:tab w:val="left" w:pos="567"/>
        </w:tabs>
        <w:ind w:left="567"/>
      </w:pPr>
      <w:r>
        <w:t xml:space="preserve">El gasto corresponde al pago de las remuneraciones al personal de carácter permanente que trabaja en el Instituto, prestaciones de </w:t>
      </w:r>
      <w:r w:rsidR="00F10CDB">
        <w:t>seguridad social y económica</w:t>
      </w:r>
      <w:r w:rsidR="002810AF">
        <w:t>.</w:t>
      </w:r>
    </w:p>
    <w:p w14:paraId="664F216E" w14:textId="77777777" w:rsidR="00880B80" w:rsidRDefault="00880B80" w:rsidP="00FE5ED9">
      <w:pPr>
        <w:pStyle w:val="documento"/>
        <w:tabs>
          <w:tab w:val="left" w:pos="567"/>
        </w:tabs>
        <w:ind w:left="567"/>
      </w:pPr>
    </w:p>
    <w:p w14:paraId="04C253A1" w14:textId="5A94C145" w:rsidR="00880B80" w:rsidRDefault="00880B80" w:rsidP="001C7FD1">
      <w:pPr>
        <w:pStyle w:val="documento"/>
        <w:numPr>
          <w:ilvl w:val="0"/>
          <w:numId w:val="10"/>
        </w:numPr>
        <w:tabs>
          <w:tab w:val="left" w:pos="567"/>
        </w:tabs>
      </w:pPr>
      <w:r>
        <w:t>Servicios generales por $</w:t>
      </w:r>
      <w:r w:rsidR="003166C4" w:rsidRPr="003166C4">
        <w:t xml:space="preserve"> </w:t>
      </w:r>
      <w:r w:rsidR="001C7FD1" w:rsidRPr="001C7FD1">
        <w:t>23,069,777</w:t>
      </w:r>
    </w:p>
    <w:p w14:paraId="2F615005" w14:textId="5C880CB8" w:rsidR="00880B80" w:rsidRDefault="00880B80" w:rsidP="00880B80">
      <w:pPr>
        <w:pStyle w:val="documento"/>
        <w:tabs>
          <w:tab w:val="left" w:pos="567"/>
        </w:tabs>
        <w:ind w:left="567"/>
      </w:pPr>
      <w:r>
        <w:t xml:space="preserve">El gasto corresponde a los servicios pagados por el Instituto, como son: energía eléctrica, agua, servicios de telefonía e internet, arrendamiento, servicios profesionales, servicios de vigilancia y de limpieza, así como de los eventos realizados </w:t>
      </w:r>
      <w:r w:rsidR="00AE6168">
        <w:t xml:space="preserve">por </w:t>
      </w:r>
      <w:r>
        <w:t>el Instituto; asimismo, del pago de impuestos.</w:t>
      </w:r>
    </w:p>
    <w:p w14:paraId="767FC26B" w14:textId="77777777" w:rsidR="00E67B41" w:rsidRDefault="00E67B41" w:rsidP="00FE5ED9">
      <w:pPr>
        <w:pStyle w:val="documento"/>
        <w:tabs>
          <w:tab w:val="left" w:pos="567"/>
        </w:tabs>
        <w:ind w:left="567"/>
      </w:pPr>
    </w:p>
    <w:p w14:paraId="6A5CDA10" w14:textId="77777777" w:rsidR="00AE6168" w:rsidRDefault="00AE6168" w:rsidP="00FE5ED9">
      <w:pPr>
        <w:pStyle w:val="documento"/>
        <w:tabs>
          <w:tab w:val="left" w:pos="567"/>
        </w:tabs>
        <w:ind w:left="567"/>
      </w:pPr>
    </w:p>
    <w:p w14:paraId="0726953F" w14:textId="77777777" w:rsidR="00AE6168" w:rsidRDefault="00AE6168"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A25D524" w14:textId="101A388B" w:rsidR="00C150B7"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AE6168">
        <w:rPr>
          <w:rFonts w:ascii="Gotham Rounded Book" w:hAnsi="Gotham Rounded Book"/>
          <w:sz w:val="22"/>
          <w:szCs w:val="22"/>
        </w:rPr>
        <w:t>diciembre</w:t>
      </w:r>
      <w:r w:rsidR="003166C4">
        <w:rPr>
          <w:rFonts w:ascii="Gotham Rounded Book" w:hAnsi="Gotham Rounded Book"/>
          <w:sz w:val="22"/>
          <w:szCs w:val="22"/>
        </w:rPr>
        <w:t xml:space="preserve"> </w:t>
      </w:r>
      <w:r w:rsidR="00680A69">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w:t>
      </w:r>
      <w:r w:rsidR="00C150B7">
        <w:rPr>
          <w:rFonts w:ascii="Gotham Rounded Book" w:hAnsi="Gotham Rounded Book"/>
          <w:sz w:val="22"/>
          <w:szCs w:val="22"/>
        </w:rPr>
        <w:t>1</w:t>
      </w:r>
      <w:r w:rsidR="00D93444" w:rsidRPr="00301BDA">
        <w:rPr>
          <w:rFonts w:ascii="Gotham Rounded Book" w:hAnsi="Gotham Rounded Book"/>
          <w:sz w:val="22"/>
          <w:szCs w:val="22"/>
        </w:rPr>
        <w:t xml:space="preserve"> por </w:t>
      </w:r>
      <w:r w:rsidR="00826D17" w:rsidRPr="00826D17">
        <w:rPr>
          <w:rFonts w:ascii="Gotham Rounded Book" w:hAnsi="Gotham Rounded Book"/>
          <w:sz w:val="22"/>
          <w:szCs w:val="22"/>
        </w:rPr>
        <w:t>$</w:t>
      </w:r>
      <w:r w:rsidR="003166C4" w:rsidRPr="003166C4">
        <w:rPr>
          <w:rFonts w:ascii="Gotham Rounded Book" w:hAnsi="Gotham Rounded Book"/>
          <w:sz w:val="22"/>
          <w:szCs w:val="22"/>
        </w:rPr>
        <w:t>4</w:t>
      </w:r>
      <w:proofErr w:type="gramStart"/>
      <w:r w:rsidR="003166C4" w:rsidRPr="003166C4">
        <w:rPr>
          <w:rFonts w:ascii="Gotham Rounded Book" w:hAnsi="Gotham Rounded Book"/>
          <w:sz w:val="22"/>
          <w:szCs w:val="22"/>
        </w:rPr>
        <w:t>,</w:t>
      </w:r>
      <w:r w:rsidR="00AE6168">
        <w:rPr>
          <w:rFonts w:ascii="Gotham Rounded Book" w:hAnsi="Gotham Rounded Book"/>
          <w:sz w:val="22"/>
          <w:szCs w:val="22"/>
        </w:rPr>
        <w:t>508</w:t>
      </w:r>
      <w:r w:rsidR="003166C4" w:rsidRPr="003166C4">
        <w:rPr>
          <w:rFonts w:ascii="Gotham Rounded Book" w:hAnsi="Gotham Rounded Book"/>
          <w:sz w:val="22"/>
          <w:szCs w:val="22"/>
        </w:rPr>
        <w:t>,</w:t>
      </w:r>
      <w:r w:rsidR="00AE6168">
        <w:rPr>
          <w:rFonts w:ascii="Gotham Rounded Book" w:hAnsi="Gotham Rounded Book"/>
          <w:sz w:val="22"/>
          <w:szCs w:val="22"/>
        </w:rPr>
        <w:t>736</w:t>
      </w:r>
      <w:proofErr w:type="gramEnd"/>
      <w:r w:rsidR="00826D17">
        <w:rPr>
          <w:rFonts w:ascii="Gotham Rounded Book" w:hAnsi="Gotham Rounded Book"/>
          <w:sz w:val="22"/>
          <w:szCs w:val="22"/>
        </w:rPr>
        <w:t xml:space="preserve">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w:t>
      </w:r>
      <w:r w:rsidR="00826D17" w:rsidRPr="00826D17">
        <w:rPr>
          <w:rFonts w:ascii="Gotham Rounded Book" w:hAnsi="Gotham Rounded Book"/>
          <w:sz w:val="22"/>
          <w:szCs w:val="22"/>
        </w:rPr>
        <w:t>$</w:t>
      </w:r>
      <w:r w:rsidR="00AE6168">
        <w:rPr>
          <w:rFonts w:ascii="Gotham Rounded Book" w:hAnsi="Gotham Rounded Book"/>
          <w:sz w:val="22"/>
          <w:szCs w:val="22"/>
        </w:rPr>
        <w:t>1,416,504</w:t>
      </w:r>
      <w:r w:rsidR="00E436BE">
        <w:rPr>
          <w:rFonts w:ascii="Gotham Rounded Book" w:hAnsi="Gotham Rounded Book"/>
          <w:sz w:val="22"/>
          <w:szCs w:val="22"/>
        </w:rPr>
        <w:t xml:space="preserve"> </w:t>
      </w:r>
      <w:r w:rsidR="00A844E8">
        <w:rPr>
          <w:rFonts w:ascii="Gotham Rounded Book" w:hAnsi="Gotham Rounded Book"/>
          <w:sz w:val="22"/>
          <w:szCs w:val="22"/>
        </w:rPr>
        <w:t>pesos</w:t>
      </w:r>
      <w:r w:rsidR="00C150B7">
        <w:rPr>
          <w:rFonts w:ascii="Gotham Rounded Book" w:hAnsi="Gotham Rounded Book"/>
          <w:sz w:val="22"/>
          <w:szCs w:val="22"/>
        </w:rPr>
        <w:t>.</w:t>
      </w:r>
    </w:p>
    <w:p w14:paraId="545E0A22" w14:textId="11C75C0E" w:rsidR="00D93444" w:rsidRDefault="00D93444" w:rsidP="00DE714F">
      <w:pPr>
        <w:pStyle w:val="ROMANOS"/>
        <w:tabs>
          <w:tab w:val="clear" w:pos="720"/>
        </w:tabs>
        <w:spacing w:after="0" w:line="276" w:lineRule="auto"/>
        <w:ind w:left="0" w:firstLine="0"/>
        <w:rPr>
          <w:rFonts w:ascii="Gotham Rounded Book" w:hAnsi="Gotham Rounded Book"/>
          <w:sz w:val="22"/>
          <w:szCs w:val="22"/>
        </w:rPr>
      </w:pPr>
    </w:p>
    <w:p w14:paraId="2BB00065" w14:textId="7C4D4639"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07388AE1"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3166C4" w:rsidRPr="00173130">
        <w:t>$</w:t>
      </w:r>
      <w:r w:rsidR="00D23739">
        <w:t>4</w:t>
      </w:r>
      <w:proofErr w:type="gramStart"/>
      <w:r w:rsidR="00D23739">
        <w:t>,508,736</w:t>
      </w:r>
      <w:proofErr w:type="gramEnd"/>
      <w:r w:rsidR="00D23739">
        <w:t xml:space="preserve"> </w:t>
      </w:r>
      <w:r w:rsidR="003166C4" w:rsidRPr="00173130">
        <w:t>y $</w:t>
      </w:r>
      <w:r w:rsidR="003166C4" w:rsidRPr="00105266">
        <w:t>1,</w:t>
      </w:r>
      <w:r w:rsidR="00D23739">
        <w:t>416,504</w:t>
      </w:r>
      <w:r w:rsidR="003166C4">
        <w:t xml:space="preserve">, </w:t>
      </w:r>
      <w:r w:rsidR="000347FB">
        <w:t xml:space="preserve"> </w:t>
      </w:r>
      <w:r w:rsidR="007A4A4F">
        <w:t>pesos</w:t>
      </w:r>
      <w:r w:rsidR="005D7C3E" w:rsidRPr="00C454B6">
        <w:t>,</w:t>
      </w:r>
      <w:r w:rsidR="00941FAA" w:rsidRPr="00C454B6">
        <w:t xml:space="preserve"> respectivamente.</w:t>
      </w:r>
    </w:p>
    <w:p w14:paraId="2837FCED" w14:textId="77777777" w:rsidR="00561495" w:rsidRDefault="00561495"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116DA6C6" w:rsidR="00B2580E" w:rsidRPr="00272BD4" w:rsidRDefault="00561495" w:rsidP="00D4245B">
            <w:pPr>
              <w:pStyle w:val="ENCTAB"/>
              <w:spacing w:after="0"/>
              <w:rPr>
                <w:sz w:val="14"/>
                <w:szCs w:val="14"/>
              </w:rPr>
            </w:pPr>
            <w:r>
              <w:rPr>
                <w:sz w:val="14"/>
                <w:szCs w:val="14"/>
              </w:rPr>
              <w:t>20</w:t>
            </w:r>
            <w:r w:rsidR="00BE729B">
              <w:rPr>
                <w:sz w:val="14"/>
                <w:szCs w:val="14"/>
              </w:rPr>
              <w:t>21</w:t>
            </w:r>
          </w:p>
        </w:tc>
        <w:tc>
          <w:tcPr>
            <w:tcW w:w="1418" w:type="dxa"/>
            <w:shd w:val="clear" w:color="auto" w:fill="D2D3D5"/>
            <w:vAlign w:val="center"/>
          </w:tcPr>
          <w:p w14:paraId="2432DBE2" w14:textId="5DFBDF81" w:rsidR="00B2580E" w:rsidRPr="00272BD4" w:rsidRDefault="00BE729B" w:rsidP="00D4245B">
            <w:pPr>
              <w:pStyle w:val="ENCTAB"/>
              <w:spacing w:after="0"/>
              <w:rPr>
                <w:sz w:val="14"/>
                <w:szCs w:val="14"/>
              </w:rPr>
            </w:pPr>
            <w:r>
              <w:rPr>
                <w:sz w:val="14"/>
                <w:szCs w:val="14"/>
              </w:rPr>
              <w:t>2020</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4C5A85BA"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7B39F4CB" w14:textId="565F22B4"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1545E016" w:rsidR="00E87B3E" w:rsidRPr="0063233F" w:rsidRDefault="0029208B" w:rsidP="00E87B3E">
            <w:pPr>
              <w:pStyle w:val="TEXTAB"/>
              <w:spacing w:after="0"/>
              <w:ind w:right="237"/>
              <w:jc w:val="right"/>
              <w:rPr>
                <w:sz w:val="12"/>
                <w:szCs w:val="12"/>
                <w:lang w:val="es-ES_tradnl"/>
              </w:rPr>
            </w:pPr>
            <w:r w:rsidRPr="0029208B">
              <w:rPr>
                <w:sz w:val="12"/>
                <w:szCs w:val="12"/>
                <w:lang w:val="es-ES_tradnl"/>
              </w:rPr>
              <w:t>1,433,121</w:t>
            </w:r>
          </w:p>
        </w:tc>
        <w:tc>
          <w:tcPr>
            <w:tcW w:w="1418" w:type="dxa"/>
            <w:vAlign w:val="center"/>
          </w:tcPr>
          <w:p w14:paraId="70781CEC" w14:textId="2D529200" w:rsidR="00E87B3E" w:rsidRPr="0063233F" w:rsidRDefault="0029208B" w:rsidP="00E87B3E">
            <w:pPr>
              <w:pStyle w:val="TEXTAB"/>
              <w:spacing w:after="0"/>
              <w:ind w:right="237"/>
              <w:jc w:val="right"/>
              <w:rPr>
                <w:sz w:val="12"/>
                <w:szCs w:val="12"/>
                <w:lang w:val="es-ES_tradnl"/>
              </w:rPr>
            </w:pPr>
            <w:r w:rsidRPr="0029208B">
              <w:rPr>
                <w:sz w:val="12"/>
                <w:szCs w:val="12"/>
                <w:lang w:val="es-ES_tradnl"/>
              </w:rPr>
              <w:t>1,229,610</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472ED73F"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21B12E67"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069B7014"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692CFD49" w14:textId="13EF6CF8"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2DCC021D" w:rsidR="00FE3149" w:rsidRPr="0063233F" w:rsidRDefault="0029208B" w:rsidP="00FE3149">
            <w:pPr>
              <w:pStyle w:val="TEXTAB"/>
              <w:spacing w:after="0"/>
              <w:ind w:right="237" w:hanging="740"/>
              <w:jc w:val="right"/>
              <w:rPr>
                <w:sz w:val="12"/>
                <w:szCs w:val="12"/>
                <w:lang w:val="es-ES_tradnl"/>
              </w:rPr>
            </w:pPr>
            <w:r w:rsidRPr="0029208B">
              <w:rPr>
                <w:sz w:val="12"/>
                <w:szCs w:val="12"/>
                <w:lang w:val="es-ES_tradnl"/>
              </w:rPr>
              <w:t>1,433,121</w:t>
            </w:r>
          </w:p>
        </w:tc>
        <w:tc>
          <w:tcPr>
            <w:tcW w:w="1276" w:type="dxa"/>
            <w:shd w:val="clear" w:color="auto" w:fill="D2D3D5"/>
            <w:vAlign w:val="center"/>
          </w:tcPr>
          <w:p w14:paraId="1873EF04" w14:textId="6D9F45E3" w:rsidR="00342929" w:rsidRPr="0063233F" w:rsidRDefault="0029208B" w:rsidP="006C4E2E">
            <w:pPr>
              <w:pStyle w:val="TEXTAB"/>
              <w:spacing w:after="0"/>
              <w:ind w:right="237" w:hanging="791"/>
              <w:jc w:val="right"/>
              <w:rPr>
                <w:sz w:val="12"/>
                <w:szCs w:val="12"/>
                <w:lang w:val="es-ES_tradnl"/>
              </w:rPr>
            </w:pPr>
            <w:r w:rsidRPr="0029208B">
              <w:rPr>
                <w:sz w:val="12"/>
                <w:szCs w:val="12"/>
                <w:lang w:val="es-ES_tradnl"/>
              </w:rPr>
              <w:t>1,229,610</w:t>
            </w:r>
          </w:p>
        </w:tc>
      </w:tr>
    </w:tbl>
    <w:p w14:paraId="3426ABB9" w14:textId="31FEEC17" w:rsidR="00107D24" w:rsidRDefault="00107D24"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79B88986" w:rsidR="009845F4" w:rsidRPr="00272BD4" w:rsidRDefault="00561495" w:rsidP="001E39C2">
            <w:pPr>
              <w:pStyle w:val="ENCTAB"/>
              <w:spacing w:after="0"/>
              <w:rPr>
                <w:sz w:val="14"/>
                <w:szCs w:val="14"/>
              </w:rPr>
            </w:pPr>
            <w:r>
              <w:rPr>
                <w:sz w:val="14"/>
                <w:szCs w:val="14"/>
              </w:rPr>
              <w:t>20</w:t>
            </w:r>
            <w:r w:rsidR="00455EA7">
              <w:rPr>
                <w:sz w:val="14"/>
                <w:szCs w:val="14"/>
              </w:rPr>
              <w:t>21</w:t>
            </w:r>
          </w:p>
        </w:tc>
        <w:tc>
          <w:tcPr>
            <w:tcW w:w="1418" w:type="dxa"/>
            <w:shd w:val="clear" w:color="auto" w:fill="D2D3D5"/>
            <w:vAlign w:val="center"/>
          </w:tcPr>
          <w:p w14:paraId="5711AC90" w14:textId="5BDAC8D4" w:rsidR="009845F4" w:rsidRPr="00272BD4" w:rsidRDefault="00561495" w:rsidP="001E39C2">
            <w:pPr>
              <w:pStyle w:val="ENCTAB"/>
              <w:spacing w:after="0"/>
              <w:rPr>
                <w:sz w:val="14"/>
                <w:szCs w:val="14"/>
              </w:rPr>
            </w:pPr>
            <w:r>
              <w:rPr>
                <w:sz w:val="14"/>
                <w:szCs w:val="14"/>
              </w:rPr>
              <w:t>20</w:t>
            </w:r>
            <w:r w:rsidR="00455EA7">
              <w:rPr>
                <w:sz w:val="14"/>
                <w:szCs w:val="14"/>
              </w:rPr>
              <w:t>20</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41D72B17" w:rsidR="009845F4" w:rsidRPr="0063233F" w:rsidRDefault="00714AD7" w:rsidP="00295A5D">
            <w:pPr>
              <w:pStyle w:val="TEXTAB"/>
              <w:spacing w:after="0"/>
              <w:ind w:right="237"/>
              <w:jc w:val="right"/>
              <w:rPr>
                <w:sz w:val="12"/>
                <w:szCs w:val="12"/>
                <w:lang w:val="es-ES_tradnl"/>
              </w:rPr>
            </w:pPr>
            <w:r>
              <w:rPr>
                <w:sz w:val="12"/>
                <w:szCs w:val="12"/>
                <w:lang w:val="es-ES_tradnl"/>
              </w:rPr>
              <w:t>0</w:t>
            </w:r>
          </w:p>
        </w:tc>
        <w:tc>
          <w:tcPr>
            <w:tcW w:w="1418" w:type="dxa"/>
            <w:vAlign w:val="center"/>
          </w:tcPr>
          <w:p w14:paraId="6A83A2C9" w14:textId="7CE0AFDE" w:rsidR="00265222" w:rsidRPr="0063233F" w:rsidRDefault="00714AD7" w:rsidP="00455EA7">
            <w:pPr>
              <w:pStyle w:val="TEXTAB"/>
              <w:spacing w:after="0"/>
              <w:ind w:right="237"/>
              <w:jc w:val="right"/>
              <w:rPr>
                <w:sz w:val="12"/>
                <w:szCs w:val="12"/>
                <w:lang w:val="es-ES_tradnl"/>
              </w:rPr>
            </w:pPr>
            <w:r>
              <w:rPr>
                <w:sz w:val="12"/>
                <w:szCs w:val="12"/>
                <w:lang w:val="es-ES_tradnl"/>
              </w:rPr>
              <w:t>0</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56D621C5" w:rsidR="00561495" w:rsidRPr="0063233F" w:rsidRDefault="00714AD7" w:rsidP="00561495">
            <w:pPr>
              <w:pStyle w:val="TEXTAB"/>
              <w:spacing w:after="0"/>
              <w:ind w:right="237"/>
              <w:jc w:val="right"/>
              <w:rPr>
                <w:sz w:val="12"/>
                <w:szCs w:val="12"/>
                <w:lang w:val="es-ES_tradnl"/>
              </w:rPr>
            </w:pPr>
            <w:r>
              <w:rPr>
                <w:sz w:val="12"/>
                <w:szCs w:val="12"/>
                <w:lang w:val="es-ES_tradnl"/>
              </w:rPr>
              <w:t>0</w:t>
            </w:r>
          </w:p>
        </w:tc>
        <w:tc>
          <w:tcPr>
            <w:tcW w:w="1418" w:type="dxa"/>
            <w:shd w:val="clear" w:color="auto" w:fill="D2D3D5"/>
            <w:vAlign w:val="center"/>
          </w:tcPr>
          <w:p w14:paraId="03F00027" w14:textId="29035D57" w:rsidR="00561495" w:rsidRPr="0063233F" w:rsidRDefault="00714AD7" w:rsidP="00561495">
            <w:pPr>
              <w:pStyle w:val="TEXTAB"/>
              <w:spacing w:after="0"/>
              <w:ind w:right="237"/>
              <w:jc w:val="right"/>
              <w:rPr>
                <w:sz w:val="12"/>
                <w:szCs w:val="12"/>
                <w:lang w:val="es-ES_tradnl"/>
              </w:rPr>
            </w:pPr>
            <w:r>
              <w:rPr>
                <w:sz w:val="12"/>
                <w:szCs w:val="12"/>
                <w:lang w:val="es-ES_tradnl"/>
              </w:rPr>
              <w:t>0</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01209DEA" w14:textId="77777777" w:rsidR="00714AD7" w:rsidRDefault="00714AD7" w:rsidP="00B2580E">
      <w:pPr>
        <w:pStyle w:val="Texto"/>
        <w:spacing w:after="0" w:line="240" w:lineRule="exact"/>
        <w:ind w:firstLine="0"/>
        <w:rPr>
          <w:rFonts w:ascii="Gotham Rounded Book" w:hAnsi="Gotham Rounded Book"/>
          <w:sz w:val="22"/>
          <w:szCs w:val="22"/>
        </w:rPr>
      </w:pPr>
    </w:p>
    <w:p w14:paraId="5B56BC2C" w14:textId="77777777" w:rsidR="00714AD7" w:rsidRDefault="00714AD7" w:rsidP="00B2580E">
      <w:pPr>
        <w:pStyle w:val="Texto"/>
        <w:spacing w:after="0" w:line="240" w:lineRule="exact"/>
        <w:ind w:firstLine="0"/>
        <w:rPr>
          <w:rFonts w:ascii="Gotham Rounded Book" w:hAnsi="Gotham Rounded Book"/>
          <w:sz w:val="22"/>
          <w:szCs w:val="22"/>
        </w:rPr>
      </w:pPr>
    </w:p>
    <w:p w14:paraId="297DDD99" w14:textId="77777777" w:rsidR="00714AD7" w:rsidRDefault="00714AD7" w:rsidP="00B2580E">
      <w:pPr>
        <w:pStyle w:val="Texto"/>
        <w:spacing w:after="0" w:line="240" w:lineRule="exact"/>
        <w:ind w:firstLine="0"/>
        <w:rPr>
          <w:rFonts w:ascii="Gotham Rounded Book" w:hAnsi="Gotham Rounded Book"/>
          <w:sz w:val="22"/>
          <w:szCs w:val="22"/>
        </w:rPr>
      </w:pPr>
    </w:p>
    <w:p w14:paraId="5CAAEDF4" w14:textId="77777777" w:rsidR="00714AD7" w:rsidRDefault="00714AD7" w:rsidP="00B2580E">
      <w:pPr>
        <w:pStyle w:val="Texto"/>
        <w:spacing w:after="0" w:line="240" w:lineRule="exact"/>
        <w:ind w:firstLine="0"/>
        <w:rPr>
          <w:rFonts w:ascii="Gotham Rounded Book" w:hAnsi="Gotham Rounded Book"/>
          <w:sz w:val="22"/>
          <w:szCs w:val="22"/>
        </w:rPr>
      </w:pPr>
    </w:p>
    <w:p w14:paraId="24778C66" w14:textId="77777777" w:rsidR="00714AD7" w:rsidRDefault="00714AD7" w:rsidP="00B2580E">
      <w:pPr>
        <w:pStyle w:val="Texto"/>
        <w:spacing w:after="0" w:line="240" w:lineRule="exact"/>
        <w:ind w:firstLine="0"/>
        <w:rPr>
          <w:rFonts w:ascii="Gotham Rounded Book" w:hAnsi="Gotham Rounded Book"/>
          <w:sz w:val="22"/>
          <w:szCs w:val="22"/>
        </w:rPr>
      </w:pPr>
    </w:p>
    <w:p w14:paraId="24174851" w14:textId="77777777" w:rsidR="00DF537F" w:rsidRDefault="00DF537F" w:rsidP="00B2580E">
      <w:pPr>
        <w:pStyle w:val="Texto"/>
        <w:spacing w:after="0" w:line="240" w:lineRule="exact"/>
        <w:ind w:firstLine="0"/>
        <w:rPr>
          <w:rFonts w:ascii="Gotham Rounded Book" w:hAnsi="Gotham Rounded Book"/>
          <w:sz w:val="22"/>
          <w:szCs w:val="22"/>
        </w:rPr>
      </w:pPr>
    </w:p>
    <w:p w14:paraId="62123657" w14:textId="26D6FB1E" w:rsidR="00C463A6" w:rsidRDefault="00C463A6" w:rsidP="00C463A6">
      <w:pPr>
        <w:pStyle w:val="documento"/>
        <w:tabs>
          <w:tab w:val="left" w:pos="567"/>
        </w:tabs>
      </w:pPr>
      <w:r w:rsidRPr="00B450BE">
        <w:t>Las adquisiciones de activos intangibles y de bienes muebles se realizan con los recursos de las transferencias realizadas por la Secretaría de Administración y Finanzas del Gobierno de la Ciudad de México al I</w:t>
      </w:r>
      <w:r w:rsidR="003C3F38">
        <w:t xml:space="preserve">nstituto </w:t>
      </w:r>
      <w:r w:rsidRPr="00B450BE">
        <w:t>y se encuentran registra</w:t>
      </w:r>
      <w:r w:rsidR="002540B1">
        <w:t>da</w:t>
      </w:r>
      <w:r w:rsidRPr="00B450BE">
        <w:t>s en bienes muebles y otras aplicaciones de inversión.</w:t>
      </w:r>
    </w:p>
    <w:p w14:paraId="6FBB91ED" w14:textId="77777777" w:rsidR="00C463A6" w:rsidRDefault="00C463A6" w:rsidP="00C463A6">
      <w:pPr>
        <w:pStyle w:val="documento"/>
      </w:pPr>
    </w:p>
    <w:p w14:paraId="78FC2653" w14:textId="69B85D8D" w:rsidR="00E44F98" w:rsidRDefault="00B53CFA" w:rsidP="00B53CFA">
      <w:pPr>
        <w:pStyle w:val="documento"/>
        <w:numPr>
          <w:ilvl w:val="0"/>
          <w:numId w:val="11"/>
        </w:numPr>
        <w:tabs>
          <w:tab w:val="left" w:pos="6521"/>
        </w:tabs>
      </w:pPr>
      <w:r>
        <w:t>Bienes Muebles</w:t>
      </w:r>
      <w:r>
        <w:tab/>
      </w:r>
      <w:r w:rsidRPr="00B53CFA">
        <w:t>1,257,088</w:t>
      </w:r>
      <w:r>
        <w:t xml:space="preserve"> </w:t>
      </w:r>
      <w:r w:rsidRPr="00B53CFA">
        <w:t xml:space="preserve"> </w:t>
      </w:r>
      <w:r w:rsidR="00E44F98">
        <w:t>pesos</w:t>
      </w:r>
    </w:p>
    <w:p w14:paraId="6E4083D4" w14:textId="0A8403E1" w:rsidR="00851320" w:rsidRDefault="00851320" w:rsidP="00B53CFA">
      <w:pPr>
        <w:pStyle w:val="documento"/>
        <w:numPr>
          <w:ilvl w:val="0"/>
          <w:numId w:val="11"/>
        </w:numPr>
        <w:tabs>
          <w:tab w:val="left" w:pos="6521"/>
        </w:tabs>
      </w:pPr>
      <w:r>
        <w:t xml:space="preserve">Bienes Intangibles </w:t>
      </w:r>
      <w:r w:rsidR="00EC0DBB">
        <w:tab/>
      </w:r>
      <w:r w:rsidR="00B53CFA" w:rsidRPr="00B53CFA">
        <w:t>1,572,218</w:t>
      </w:r>
      <w:r w:rsidR="00F96893" w:rsidRPr="00F96893">
        <w:t xml:space="preserve"> </w:t>
      </w:r>
      <w:r w:rsidR="00213E97" w:rsidRPr="00213E97">
        <w:t xml:space="preserve"> </w:t>
      </w:r>
      <w:r w:rsidR="00EC0DBB">
        <w:t>pesos</w:t>
      </w:r>
    </w:p>
    <w:p w14:paraId="410EC983" w14:textId="77777777" w:rsidR="006B0AB7" w:rsidRDefault="006B0AB7" w:rsidP="00C463A6">
      <w:pPr>
        <w:pStyle w:val="documento"/>
      </w:pPr>
    </w:p>
    <w:p w14:paraId="2C02647A" w14:textId="77777777" w:rsidR="009556E7" w:rsidRDefault="009556E7" w:rsidP="00C463A6">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231DEDB7" w:rsidR="00B2580E" w:rsidRPr="00272BD4" w:rsidRDefault="00F57CB6" w:rsidP="00EB7DF6">
            <w:pPr>
              <w:pStyle w:val="ENCTAB"/>
              <w:spacing w:after="0"/>
              <w:rPr>
                <w:sz w:val="14"/>
                <w:szCs w:val="14"/>
              </w:rPr>
            </w:pPr>
            <w:r>
              <w:rPr>
                <w:sz w:val="14"/>
                <w:szCs w:val="14"/>
              </w:rPr>
              <w:t>20</w:t>
            </w:r>
            <w:r w:rsidR="006B0AB7">
              <w:rPr>
                <w:sz w:val="14"/>
                <w:szCs w:val="14"/>
              </w:rPr>
              <w:t>21</w:t>
            </w:r>
          </w:p>
        </w:tc>
        <w:tc>
          <w:tcPr>
            <w:tcW w:w="1418" w:type="dxa"/>
            <w:shd w:val="clear" w:color="auto" w:fill="D2D3D5"/>
            <w:vAlign w:val="center"/>
          </w:tcPr>
          <w:p w14:paraId="2CF7B810" w14:textId="6D22BD56" w:rsidR="00B2580E" w:rsidRPr="00272BD4" w:rsidRDefault="00F57CB6" w:rsidP="00EB7DF6">
            <w:pPr>
              <w:pStyle w:val="ENCTAB"/>
              <w:spacing w:after="0"/>
              <w:rPr>
                <w:sz w:val="14"/>
                <w:szCs w:val="14"/>
              </w:rPr>
            </w:pPr>
            <w:r>
              <w:rPr>
                <w:sz w:val="14"/>
                <w:szCs w:val="14"/>
              </w:rPr>
              <w:t>20</w:t>
            </w:r>
            <w:r w:rsidR="006B0AB7">
              <w:rPr>
                <w:sz w:val="14"/>
                <w:szCs w:val="14"/>
              </w:rPr>
              <w:t>20</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469EDD03" w:rsidR="00FF3D06" w:rsidRPr="0063233F" w:rsidRDefault="00E138D7" w:rsidP="00FF3D06">
            <w:pPr>
              <w:pStyle w:val="TEXTAB"/>
              <w:spacing w:after="0"/>
              <w:ind w:right="237"/>
              <w:jc w:val="right"/>
              <w:rPr>
                <w:sz w:val="12"/>
                <w:szCs w:val="12"/>
                <w:lang w:val="es-ES_tradnl"/>
              </w:rPr>
            </w:pPr>
            <w:r w:rsidRPr="00E138D7">
              <w:rPr>
                <w:sz w:val="12"/>
                <w:szCs w:val="12"/>
                <w:lang w:val="es-ES_tradnl"/>
              </w:rPr>
              <w:t>4,508,736</w:t>
            </w:r>
          </w:p>
        </w:tc>
        <w:tc>
          <w:tcPr>
            <w:tcW w:w="1418" w:type="dxa"/>
            <w:vAlign w:val="center"/>
          </w:tcPr>
          <w:p w14:paraId="26D29CDB" w14:textId="63CD4527" w:rsidR="00FF3D06" w:rsidRPr="0063233F" w:rsidRDefault="00E138D7" w:rsidP="00FF3D06">
            <w:pPr>
              <w:pStyle w:val="TEXTAB"/>
              <w:spacing w:after="0"/>
              <w:ind w:right="237"/>
              <w:jc w:val="right"/>
              <w:rPr>
                <w:sz w:val="12"/>
                <w:szCs w:val="12"/>
                <w:lang w:val="es-ES_tradnl"/>
              </w:rPr>
            </w:pPr>
            <w:r>
              <w:rPr>
                <w:sz w:val="12"/>
                <w:szCs w:val="12"/>
                <w:lang w:val="es-ES_tradnl"/>
              </w:rPr>
              <w:t>2,392,921</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04A62012" w:rsidR="00FF3D06" w:rsidRPr="0063233F" w:rsidRDefault="00E138D7" w:rsidP="00FF3D06">
            <w:pPr>
              <w:pStyle w:val="TEXTAB"/>
              <w:spacing w:after="0"/>
              <w:ind w:right="237"/>
              <w:jc w:val="right"/>
              <w:rPr>
                <w:sz w:val="12"/>
                <w:szCs w:val="12"/>
                <w:lang w:val="es-ES_tradnl"/>
              </w:rPr>
            </w:pPr>
            <w:r w:rsidRPr="00E138D7">
              <w:rPr>
                <w:sz w:val="12"/>
                <w:szCs w:val="12"/>
                <w:lang w:val="es-ES_tradnl"/>
              </w:rPr>
              <w:t>1,416,504</w:t>
            </w:r>
          </w:p>
        </w:tc>
        <w:tc>
          <w:tcPr>
            <w:tcW w:w="1418" w:type="dxa"/>
            <w:vAlign w:val="center"/>
          </w:tcPr>
          <w:p w14:paraId="4C1C163B" w14:textId="1A4336B2" w:rsidR="00FF3D06" w:rsidRPr="0063233F" w:rsidRDefault="00E138D7" w:rsidP="00024B56">
            <w:pPr>
              <w:pStyle w:val="TEXTAB"/>
              <w:spacing w:after="0"/>
              <w:ind w:right="237"/>
              <w:jc w:val="right"/>
              <w:rPr>
                <w:sz w:val="12"/>
                <w:szCs w:val="12"/>
                <w:lang w:val="es-ES_tradnl"/>
              </w:rPr>
            </w:pPr>
            <w:r>
              <w:rPr>
                <w:sz w:val="12"/>
                <w:szCs w:val="12"/>
                <w:lang w:val="es-ES_tradnl"/>
              </w:rPr>
              <w:t>501,835</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5C66C50F" w14:textId="77777777" w:rsidR="009556E7" w:rsidRDefault="009556E7" w:rsidP="00B2580E">
      <w:pPr>
        <w:pStyle w:val="documento"/>
        <w:rPr>
          <w:b/>
          <w:smallCaps/>
        </w:rPr>
      </w:pPr>
    </w:p>
    <w:p w14:paraId="58BE77C3" w14:textId="66B3B081"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A11F4C" w:rsidRPr="00A11F4C">
        <w:t>4</w:t>
      </w:r>
      <w:proofErr w:type="gramStart"/>
      <w:r w:rsidR="00A11F4C" w:rsidRPr="00A11F4C">
        <w:t>,508,736</w:t>
      </w:r>
      <w:proofErr w:type="gramEnd"/>
      <w:r w:rsidR="00125AB6">
        <w:t xml:space="preserve"> </w:t>
      </w:r>
      <w:r w:rsidRPr="00250E19">
        <w:t xml:space="preserve">y </w:t>
      </w:r>
      <w:r w:rsidRPr="00826D17">
        <w:t>$</w:t>
      </w:r>
      <w:r w:rsidR="00A11F4C" w:rsidRPr="00A11F4C">
        <w:t>1,416,504</w:t>
      </w:r>
      <w:r>
        <w:t xml:space="preserve"> pesos</w:t>
      </w:r>
      <w:r w:rsidRPr="00C454B6">
        <w:t>, respectivamente.</w:t>
      </w:r>
    </w:p>
    <w:p w14:paraId="156B7F0C" w14:textId="77777777" w:rsidR="009556E7" w:rsidRDefault="009556E7" w:rsidP="00B2580E">
      <w:pPr>
        <w:pStyle w:val="documento"/>
        <w:rPr>
          <w:b/>
          <w:smallCaps/>
        </w:rPr>
      </w:pPr>
    </w:p>
    <w:p w14:paraId="10539FC3" w14:textId="77777777" w:rsidR="009556E7" w:rsidRDefault="009556E7" w:rsidP="00B2580E">
      <w:pPr>
        <w:pStyle w:val="documento"/>
        <w:rPr>
          <w:b/>
          <w:smallCaps/>
        </w:rPr>
      </w:pPr>
    </w:p>
    <w:p w14:paraId="7324B41C" w14:textId="77777777" w:rsidR="009556E7" w:rsidRDefault="009556E7" w:rsidP="00B2580E">
      <w:pPr>
        <w:pStyle w:val="documento"/>
        <w:rPr>
          <w:b/>
          <w:smallCaps/>
        </w:rPr>
      </w:pPr>
    </w:p>
    <w:p w14:paraId="621E7FD2" w14:textId="77777777" w:rsidR="009556E7" w:rsidRDefault="009556E7" w:rsidP="00B2580E">
      <w:pPr>
        <w:pStyle w:val="documento"/>
        <w:rPr>
          <w:b/>
          <w:smallCaps/>
        </w:rPr>
      </w:pPr>
    </w:p>
    <w:p w14:paraId="471A79A0" w14:textId="77777777" w:rsidR="009556E7" w:rsidRDefault="009556E7" w:rsidP="00B2580E">
      <w:pPr>
        <w:pStyle w:val="documento"/>
        <w:rPr>
          <w:b/>
          <w:smallCaps/>
        </w:rPr>
      </w:pPr>
    </w:p>
    <w:p w14:paraId="5DB8BCE6" w14:textId="77777777" w:rsidR="009556E7" w:rsidRDefault="009556E7" w:rsidP="00B2580E">
      <w:pPr>
        <w:pStyle w:val="documento"/>
        <w:rPr>
          <w:b/>
          <w:smallCaps/>
        </w:rPr>
      </w:pPr>
    </w:p>
    <w:p w14:paraId="1333B23A" w14:textId="77777777" w:rsidR="009556E7" w:rsidRDefault="009556E7" w:rsidP="00B2580E">
      <w:pPr>
        <w:pStyle w:val="documento"/>
        <w:rPr>
          <w:b/>
          <w:smallCaps/>
        </w:rPr>
      </w:pPr>
    </w:p>
    <w:p w14:paraId="41491969" w14:textId="77777777" w:rsidR="009556E7" w:rsidRDefault="009556E7" w:rsidP="00B2580E">
      <w:pPr>
        <w:pStyle w:val="documento"/>
        <w:rPr>
          <w:b/>
          <w:smallCaps/>
        </w:rPr>
      </w:pPr>
    </w:p>
    <w:p w14:paraId="2C60AFC8" w14:textId="77777777" w:rsidR="009556E7" w:rsidRDefault="009556E7" w:rsidP="00B2580E">
      <w:pPr>
        <w:pStyle w:val="documento"/>
        <w:rPr>
          <w:b/>
          <w:smallCaps/>
        </w:rPr>
      </w:pPr>
    </w:p>
    <w:p w14:paraId="14444EF2" w14:textId="57D5216D" w:rsidR="009556E7" w:rsidRDefault="009556E7" w:rsidP="00B2580E">
      <w:pPr>
        <w:pStyle w:val="documento"/>
        <w:rPr>
          <w:b/>
          <w:smallCaps/>
        </w:rPr>
      </w:pPr>
    </w:p>
    <w:p w14:paraId="26704697" w14:textId="77777777" w:rsidR="0090367E" w:rsidRDefault="0090367E" w:rsidP="00B2580E">
      <w:pPr>
        <w:pStyle w:val="documento"/>
        <w:rPr>
          <w:b/>
          <w:smallCaps/>
        </w:rPr>
      </w:pPr>
    </w:p>
    <w:p w14:paraId="6C2284F3" w14:textId="77777777" w:rsidR="00691045" w:rsidRDefault="00691045" w:rsidP="00B2580E">
      <w:pPr>
        <w:pStyle w:val="documento"/>
        <w:rPr>
          <w:b/>
          <w:smallCaps/>
        </w:rPr>
      </w:pPr>
    </w:p>
    <w:p w14:paraId="350E06E6" w14:textId="77777777" w:rsidR="00183147" w:rsidRDefault="00183147" w:rsidP="00B2580E">
      <w:pPr>
        <w:pStyle w:val="documento"/>
        <w:rPr>
          <w:b/>
          <w:smallCaps/>
        </w:rPr>
      </w:pPr>
    </w:p>
    <w:p w14:paraId="762B70DB" w14:textId="77777777" w:rsidR="00183147" w:rsidRDefault="00183147" w:rsidP="00B2580E">
      <w:pPr>
        <w:pStyle w:val="documento"/>
        <w:rPr>
          <w:b/>
          <w:smallCaps/>
        </w:rPr>
      </w:pPr>
    </w:p>
    <w:p w14:paraId="7B957073" w14:textId="77777777" w:rsidR="00183147" w:rsidRDefault="00183147"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452A5CD6" w:rsidR="00B2580E"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77688014" w14:textId="362FDC9B" w:rsidR="00E24D9D" w:rsidRDefault="001412A4" w:rsidP="00E5374F">
      <w:pPr>
        <w:pStyle w:val="documento"/>
      </w:pPr>
      <w:r>
        <w:rPr>
          <w:noProof/>
          <w:lang w:eastAsia="es-MX"/>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55pt;margin-top:17.75pt;width:479.4pt;height:462.15pt;z-index:251658240;mso-position-horizontal-relative:text;mso-position-vertical-relative:text">
            <v:imagedata r:id="rId8" o:title=""/>
            <w10:wrap type="square" side="right"/>
          </v:shape>
          <o:OLEObject Type="Embed" ProgID="Excel.Sheet.12" ShapeID="_x0000_s1030" DrawAspect="Content" ObjectID="_1702824088" r:id="rId9"/>
        </w:object>
      </w:r>
    </w:p>
    <w:bookmarkStart w:id="0" w:name="_MON_1545548817"/>
    <w:bookmarkEnd w:id="0"/>
    <w:p w14:paraId="5E78FEBA" w14:textId="2A2CE600" w:rsidR="0070767B" w:rsidRDefault="00803911" w:rsidP="00C01CBA">
      <w:pPr>
        <w:pStyle w:val="documento"/>
      </w:pPr>
      <w:r>
        <w:object w:dxaOrig="10673" w:dyaOrig="5377" w14:anchorId="6F41FCE6">
          <v:shape id="_x0000_i1025" type="#_x0000_t75" style="width:488.4pt;height:253.5pt" o:ole="">
            <v:imagedata r:id="rId10" o:title=""/>
          </v:shape>
          <o:OLEObject Type="Embed" ProgID="Excel.Sheet.12" ShapeID="_x0000_i1025" DrawAspect="Content" ObjectID="_1702824087" r:id="rId11"/>
        </w:object>
      </w:r>
    </w:p>
    <w:p w14:paraId="53B24516" w14:textId="791141B1" w:rsidR="00BE2B64" w:rsidRDefault="00BE2B64" w:rsidP="00BE2B64">
      <w:pPr>
        <w:pStyle w:val="documento"/>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7F4C8EBC"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D702C7">
        <w:rPr>
          <w:rFonts w:ascii="Gotham Rounded Book" w:hAnsi="Gotham Rounded Book"/>
          <w:sz w:val="22"/>
          <w:szCs w:val="22"/>
        </w:rPr>
        <w:t>0</w:t>
      </w:r>
      <w:r w:rsidR="002C71DC">
        <w:rPr>
          <w:rFonts w:ascii="Gotham Rounded Book" w:hAnsi="Gotham Rounded Book"/>
          <w:sz w:val="22"/>
          <w:szCs w:val="22"/>
        </w:rPr>
        <w:t>10</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w:t>
      </w:r>
      <w:r w:rsidR="002C71DC">
        <w:rPr>
          <w:rFonts w:ascii="Gotham Rounded Book" w:hAnsi="Gotham Rounded Book"/>
          <w:sz w:val="22"/>
          <w:szCs w:val="22"/>
        </w:rPr>
        <w:t>1</w:t>
      </w:r>
      <w:r w:rsidR="00E037FC">
        <w:rPr>
          <w:rFonts w:ascii="Gotham Rounded Book" w:hAnsi="Gotham Rounded Book"/>
          <w:sz w:val="22"/>
          <w:szCs w:val="22"/>
        </w:rPr>
        <w:t xml:space="preserve"> del </w:t>
      </w:r>
      <w:r w:rsidR="00D702C7">
        <w:rPr>
          <w:rFonts w:ascii="Gotham Rounded Book" w:hAnsi="Gotham Rounded Book"/>
          <w:sz w:val="22"/>
          <w:szCs w:val="22"/>
        </w:rPr>
        <w:t>2</w:t>
      </w:r>
      <w:r w:rsidR="002C71DC">
        <w:rPr>
          <w:rFonts w:ascii="Gotham Rounded Book" w:hAnsi="Gotham Rounded Book"/>
          <w:sz w:val="22"/>
          <w:szCs w:val="22"/>
        </w:rPr>
        <w:t>5</w:t>
      </w:r>
      <w:r w:rsidRPr="0070342E">
        <w:rPr>
          <w:rFonts w:ascii="Gotham Rounded Book" w:hAnsi="Gotham Rounded Book"/>
          <w:sz w:val="22"/>
          <w:szCs w:val="22"/>
        </w:rPr>
        <w:t xml:space="preserve"> de </w:t>
      </w:r>
      <w:r w:rsidR="00D702C7">
        <w:rPr>
          <w:rFonts w:ascii="Gotham Rounded Book" w:hAnsi="Gotham Rounded Book"/>
          <w:sz w:val="22"/>
          <w:szCs w:val="22"/>
        </w:rPr>
        <w:t>enero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w:t>
      </w:r>
      <w:r w:rsidR="002C71DC">
        <w:rPr>
          <w:rFonts w:ascii="Gotham Rounded Book" w:hAnsi="Gotham Rounded Book"/>
          <w:sz w:val="22"/>
          <w:szCs w:val="22"/>
        </w:rPr>
        <w:t>1</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w:t>
      </w:r>
      <w:r w:rsidR="002C71DC">
        <w:rPr>
          <w:rFonts w:ascii="Gotham Rounded Book" w:hAnsi="Gotham Rounded Book"/>
          <w:sz w:val="22"/>
          <w:szCs w:val="22"/>
        </w:rPr>
        <w:t xml:space="preserve"> Administración y Finanzas, que al 31 de diciembre de 2020,</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2C71DC">
        <w:rPr>
          <w:rFonts w:ascii="Gotham Rounded Book" w:hAnsi="Gotham Rounded Book"/>
          <w:sz w:val="22"/>
          <w:szCs w:val="22"/>
        </w:rPr>
        <w:t xml:space="preserve">de 23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2C71DC">
        <w:rPr>
          <w:rFonts w:ascii="Gotham Rounded Book" w:hAnsi="Gotham Rounded Book"/>
          <w:sz w:val="22"/>
          <w:szCs w:val="22"/>
        </w:rPr>
        <w:t>27,346,85</w:t>
      </w:r>
      <w:r w:rsidR="00BE2B64">
        <w:rPr>
          <w:rFonts w:ascii="Gotham Rounded Book" w:hAnsi="Gotham Rounded Book"/>
          <w:sz w:val="22"/>
          <w:szCs w:val="22"/>
        </w:rPr>
        <w:t>5</w:t>
      </w:r>
      <w:r w:rsidR="007F21AA">
        <w:rPr>
          <w:rFonts w:ascii="Gotham Rounded Book" w:hAnsi="Gotham Rounded Book"/>
          <w:sz w:val="22"/>
          <w:szCs w:val="22"/>
        </w:rPr>
        <w:t xml:space="preserve"> </w:t>
      </w:r>
      <w:r w:rsidR="00F5026C" w:rsidRPr="0070342E">
        <w:rPr>
          <w:rFonts w:ascii="Gotham Rounded Book" w:hAnsi="Gotham Rounded Book"/>
          <w:sz w:val="22"/>
          <w:szCs w:val="22"/>
        </w:rPr>
        <w:t xml:space="preserve">por litigios judiciales, </w:t>
      </w:r>
      <w:r w:rsidR="007F21AA">
        <w:rPr>
          <w:rFonts w:ascii="Gotham Rounded Book" w:hAnsi="Gotham Rounded Book"/>
          <w:sz w:val="22"/>
          <w:szCs w:val="22"/>
        </w:rPr>
        <w:t xml:space="preserve">(se ajusta al monto por </w:t>
      </w:r>
      <w:r w:rsidR="007F21AA" w:rsidRPr="007F21AA">
        <w:rPr>
          <w:rFonts w:ascii="Gotham Rounded Book" w:hAnsi="Gotham Rounded Book"/>
          <w:sz w:val="22"/>
          <w:szCs w:val="22"/>
        </w:rPr>
        <w:t>27,346,85</w:t>
      </w:r>
      <w:r w:rsidR="00BE2B64">
        <w:rPr>
          <w:rFonts w:ascii="Gotham Rounded Book" w:hAnsi="Gotham Rounded Book"/>
          <w:sz w:val="22"/>
          <w:szCs w:val="22"/>
        </w:rPr>
        <w:t>6</w:t>
      </w:r>
      <w:r w:rsidR="007F21AA">
        <w:rPr>
          <w:rFonts w:ascii="Gotham Rounded Book" w:hAnsi="Gotham Rounded Book"/>
          <w:sz w:val="22"/>
          <w:szCs w:val="22"/>
        </w:rPr>
        <w:t xml:space="preserve"> de conformidad con el detalle de cifras reportadas en el citado oficio)</w:t>
      </w:r>
      <w:r w:rsidR="00F5026C">
        <w:rPr>
          <w:rFonts w:ascii="Gotham Rounded Book" w:hAnsi="Gotham Rounded Book"/>
          <w:sz w:val="22"/>
          <w:szCs w:val="22"/>
        </w:rPr>
        <w:t>,</w:t>
      </w:r>
      <w:r w:rsidR="002C71DC">
        <w:rPr>
          <w:rFonts w:ascii="Gotham Rounded Book" w:hAnsi="Gotham Rounded Book"/>
          <w:sz w:val="22"/>
          <w:szCs w:val="22"/>
        </w:rPr>
        <w:t xml:space="preserve">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2C71DC">
        <w:rPr>
          <w:rFonts w:ascii="Gotham Rounded Book" w:hAnsi="Gotham Rounded Book"/>
          <w:sz w:val="22"/>
          <w:szCs w:val="22"/>
        </w:rPr>
        <w:t xml:space="preserve">ejercicio </w:t>
      </w:r>
      <w:r w:rsidR="00E037FC">
        <w:rPr>
          <w:rFonts w:ascii="Gotham Rounded Book" w:hAnsi="Gotham Rounded Book"/>
          <w:sz w:val="22"/>
          <w:szCs w:val="22"/>
        </w:rPr>
        <w:t>2</w:t>
      </w:r>
      <w:r w:rsidR="002C71DC">
        <w:rPr>
          <w:rFonts w:ascii="Gotham Rounded Book" w:hAnsi="Gotham Rounded Book"/>
          <w:sz w:val="22"/>
          <w:szCs w:val="22"/>
        </w:rPr>
        <w:t>021</w:t>
      </w:r>
      <w:r w:rsidR="00E037FC">
        <w:rPr>
          <w:rFonts w:ascii="Gotham Rounded Book" w:hAnsi="Gotham Rounded Book"/>
          <w:sz w:val="22"/>
          <w:szCs w:val="22"/>
        </w:rPr>
        <w:t xml:space="preserve">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2C71DC">
        <w:rPr>
          <w:rFonts w:ascii="Gotham Rounded Book" w:hAnsi="Gotham Rounded Book"/>
          <w:sz w:val="22"/>
          <w:szCs w:val="22"/>
        </w:rPr>
        <w:t>3,278,779</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411B4F7E" w:rsidR="00B37FFB" w:rsidRDefault="00E35751" w:rsidP="007F21AA">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7F21AA" w:rsidRPr="007F21AA">
        <w:rPr>
          <w:rFonts w:ascii="Gotham Rounded Book" w:hAnsi="Gotham Rounded Book"/>
          <w:sz w:val="22"/>
          <w:szCs w:val="22"/>
        </w:rPr>
        <w:t>27</w:t>
      </w:r>
      <w:proofErr w:type="gramStart"/>
      <w:r w:rsidR="007F21AA" w:rsidRPr="007F21AA">
        <w:rPr>
          <w:rFonts w:ascii="Gotham Rounded Book" w:hAnsi="Gotham Rounded Book"/>
          <w:sz w:val="22"/>
          <w:szCs w:val="22"/>
        </w:rPr>
        <w:t>,346,85</w:t>
      </w:r>
      <w:r w:rsidR="006C1EFB">
        <w:rPr>
          <w:rFonts w:ascii="Gotham Rounded Book" w:hAnsi="Gotham Rounded Book"/>
          <w:sz w:val="22"/>
          <w:szCs w:val="22"/>
        </w:rPr>
        <w:t>6</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0F8E8C7" w:rsidR="00B37FFB" w:rsidRDefault="00E35751" w:rsidP="002F41BC">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2F41BC" w:rsidRPr="002F41BC">
        <w:rPr>
          <w:rFonts w:ascii="Gotham Rounded Book" w:hAnsi="Gotham Rounded Book"/>
          <w:sz w:val="22"/>
          <w:szCs w:val="22"/>
        </w:rPr>
        <w:t>27</w:t>
      </w:r>
      <w:proofErr w:type="gramStart"/>
      <w:r w:rsidR="002F41BC" w:rsidRPr="002F41BC">
        <w:rPr>
          <w:rFonts w:ascii="Gotham Rounded Book" w:hAnsi="Gotham Rounded Book"/>
          <w:sz w:val="22"/>
          <w:szCs w:val="22"/>
        </w:rPr>
        <w:t>,346,85</w:t>
      </w:r>
      <w:r w:rsidR="006C1EFB">
        <w:rPr>
          <w:rFonts w:ascii="Gotham Rounded Book" w:hAnsi="Gotham Rounded Book"/>
          <w:sz w:val="22"/>
          <w:szCs w:val="22"/>
        </w:rPr>
        <w:t>6</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16631D09"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1917AB">
        <w:rPr>
          <w:rFonts w:ascii="Gotham Rounded Book" w:hAnsi="Gotham Rounded Book"/>
          <w:sz w:val="22"/>
          <w:szCs w:val="22"/>
        </w:rPr>
        <w:t>21</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44AF7078"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1917AB">
        <w:rPr>
          <w:rFonts w:ascii="Gotham Rounded Book" w:hAnsi="Gotham Rounded Book"/>
          <w:sz w:val="22"/>
          <w:szCs w:val="22"/>
        </w:rPr>
        <w:t>21</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691045">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062AA97D" w:rsidR="008B5272" w:rsidRDefault="008B5272" w:rsidP="00913086">
      <w:pPr>
        <w:pStyle w:val="documento"/>
      </w:pPr>
    </w:p>
    <w:p w14:paraId="2DB4E126" w14:textId="77777777" w:rsidR="006C1EFB" w:rsidRDefault="006C1EFB"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lastRenderedPageBreak/>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proofErr w:type="gramStart"/>
      <w:r>
        <w:rPr>
          <w:rFonts w:ascii="Arial" w:hAnsi="Arial" w:cs="Arial"/>
          <w:lang w:eastAsia="es-MX"/>
        </w:rPr>
        <w:t>y</w:t>
      </w:r>
      <w:proofErr w:type="gramEnd"/>
      <w:r>
        <w:rPr>
          <w:rFonts w:ascii="Arial" w:hAnsi="Arial" w:cs="Arial"/>
          <w:lang w:eastAsia="es-MX"/>
        </w:rPr>
        <w:t xml:space="preserve"> Dirección de Comunicación Social.</w:t>
      </w:r>
    </w:p>
    <w:p w14:paraId="0942E8A9" w14:textId="77777777" w:rsidR="00B729BE" w:rsidRDefault="00B729BE" w:rsidP="000618B5">
      <w:pPr>
        <w:pStyle w:val="documento"/>
      </w:pPr>
    </w:p>
    <w:p w14:paraId="4CF6FA39" w14:textId="040D36B3" w:rsidR="007A1B8E" w:rsidRDefault="000F660C" w:rsidP="000618B5">
      <w:pPr>
        <w:pStyle w:val="documento"/>
      </w:pPr>
      <w:r>
        <w:t>C</w:t>
      </w:r>
      <w:r w:rsidR="003B1F8B">
        <w:t>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rsidR="00257136">
        <w:t xml:space="preserve"> Asimismo, con el Acuerdo 1463/SO/15-09/2021 del 15 de septiembre 2021 aprobó el Manual de Organización del Instituto de Transparencia, Acceso a la Información Pública, Protección de Datos Personales y Rendición de Cuentas de la Ciudad de México.</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lastRenderedPageBreak/>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2D8D7223"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w:t>
      </w:r>
      <w:r w:rsidR="00644E03">
        <w:t>De acuerdo con</w:t>
      </w:r>
      <w:r>
        <w:t xml:space="preserve"> esos lineamientos, los entes públicos deberán disponer de Manuales de Contabilidad a más tardar el 31 de diciembre de 2011, de conformidad en el Artículo 4º transitorio</w:t>
      </w:r>
      <w:r w:rsidR="00644E03">
        <w:t>,</w:t>
      </w:r>
      <w:r>
        <w:t xml:space="preserve">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52FAED5C"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466109">
        <w:t>21</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w:t>
      </w:r>
      <w:r w:rsidR="00466109">
        <w:t>1</w:t>
      </w:r>
      <w:r w:rsidR="006A545E" w:rsidRPr="004473DF">
        <w:t xml:space="preserve"> de diciembre de 20</w:t>
      </w:r>
      <w:r w:rsidR="00466109">
        <w:t>20</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466109">
        <w:t xml:space="preserve"> 2021</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 xml:space="preserve">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w:t>
      </w:r>
      <w:r>
        <w:lastRenderedPageBreak/>
        <w:t>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 xml:space="preserve">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F2E4640" w:rsidR="00BD0E8B" w:rsidRDefault="00BD0E8B" w:rsidP="00BD0E8B">
      <w:pPr>
        <w:pStyle w:val="documento"/>
      </w:pPr>
    </w:p>
    <w:p w14:paraId="2E76ACDC" w14:textId="77777777" w:rsidR="00691045" w:rsidRDefault="00691045" w:rsidP="00BD0E8B">
      <w:pPr>
        <w:pStyle w:val="documento"/>
      </w:pPr>
    </w:p>
    <w:p w14:paraId="787497E2" w14:textId="77777777" w:rsidR="00691045" w:rsidRDefault="00691045"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178053E9"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r w:rsidR="00803911">
              <w:rPr>
                <w:rFonts w:ascii="Gotham Rounded Book" w:hAnsi="Gotham Rounded Book"/>
              </w:rPr>
              <w:t xml:space="preserve"> y 20</w:t>
            </w:r>
            <w:r w:rsidRPr="0084503B">
              <w:rPr>
                <w:rFonts w:ascii="Gotham Rounded Book" w:hAnsi="Gotham Rounded Book"/>
              </w:rPr>
              <w:t>%</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47C4FF14" w:rsidR="00BD0E8B" w:rsidRDefault="00BD0E8B" w:rsidP="00BD0E8B">
      <w:pPr>
        <w:pStyle w:val="documento"/>
      </w:pPr>
      <w:r>
        <w:t xml:space="preserve">Licencias </w:t>
      </w:r>
      <w:r w:rsidR="002A52EC">
        <w:t xml:space="preserve">100 % </w:t>
      </w:r>
      <w:r>
        <w:t>y software</w:t>
      </w:r>
      <w:r>
        <w:tab/>
        <w:t>10%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71D7D30C" w:rsidR="00DA4E45" w:rsidRDefault="00A42F56" w:rsidP="00C46406">
      <w:pPr>
        <w:ind w:left="0" w:firstLine="0"/>
        <w:rPr>
          <w:rFonts w:ascii="Gotham Rounded Book" w:hAnsi="Gotham Rounded Book"/>
          <w:b/>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1322FF">
        <w:rPr>
          <w:rFonts w:ascii="Gotham Rounded Book" w:hAnsi="Gotham Rounded Book"/>
        </w:rPr>
        <w:t>3</w:t>
      </w:r>
      <w:r w:rsidR="00803911">
        <w:rPr>
          <w:rFonts w:ascii="Gotham Rounded Book" w:hAnsi="Gotham Rounded Book"/>
        </w:rPr>
        <w:t>1</w:t>
      </w:r>
      <w:r w:rsidR="0050528C">
        <w:rPr>
          <w:rFonts w:ascii="Gotham Rounded Book" w:hAnsi="Gotham Rounded Book"/>
        </w:rPr>
        <w:t xml:space="preserve"> </w:t>
      </w:r>
      <w:r w:rsidR="00074CE9">
        <w:rPr>
          <w:rFonts w:ascii="Gotham Rounded Book" w:hAnsi="Gotham Rounded Book"/>
        </w:rPr>
        <w:t xml:space="preserve">de </w:t>
      </w:r>
      <w:r w:rsidR="00803911">
        <w:rPr>
          <w:rFonts w:ascii="Gotham Rounded Book" w:hAnsi="Gotham Rounded Book"/>
        </w:rPr>
        <w:t xml:space="preserve">diciembre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406D01">
        <w:rPr>
          <w:rFonts w:ascii="Gotham Rounded Book" w:hAnsi="Gotham Rounded Book"/>
        </w:rPr>
        <w:t>1</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0968195" w14:textId="42B2E4D3" w:rsidR="00896964" w:rsidRDefault="000D2890" w:rsidP="00896964">
      <w:pPr>
        <w:pStyle w:val="documento"/>
      </w:pPr>
      <w:r>
        <w:t xml:space="preserve">El total de las ministraciones recibidas por el Instituto de Transparencia, Acceso a la Información Pública, Protección de Datos Personales y Rendición de Cuentas de la Ciudad de México, fueron por </w:t>
      </w:r>
      <w:r w:rsidR="0050528C">
        <w:t>$</w:t>
      </w:r>
      <w:r w:rsidR="00803911" w:rsidRPr="00803911">
        <w:t>147</w:t>
      </w:r>
      <w:proofErr w:type="gramStart"/>
      <w:r w:rsidR="00803911" w:rsidRPr="00803911">
        <w:t>,868,308</w:t>
      </w:r>
      <w:proofErr w:type="gramEnd"/>
      <w:r w:rsidR="00803911" w:rsidRPr="00803911">
        <w:t>.</w:t>
      </w:r>
      <w:r w:rsidR="00896964">
        <w:t xml:space="preserve"> </w:t>
      </w:r>
      <w:r w:rsidR="00896964">
        <w:t xml:space="preserve">Asimismo, el Instituto de Transparencia, Acceso a la Información Pública,  Protección de Datos Personales  y Rendición de Cuentas de la Ciudad de México, reintegró a la Secretaría de Administración y Finanzas, el día 4 de enero de 2022,  la cantidad de 381,798 pesos, por concepto de recursos fiscales no ejercidos. Quedando un total de </w:t>
      </w:r>
      <w:r w:rsidR="00896964" w:rsidRPr="00A0591F">
        <w:t>147</w:t>
      </w:r>
      <w:proofErr w:type="gramStart"/>
      <w:r w:rsidR="00896964" w:rsidRPr="00A0591F">
        <w:t>,486,510</w:t>
      </w:r>
      <w:proofErr w:type="gramEnd"/>
      <w:r w:rsidR="00896964">
        <w:t xml:space="preserve">, ejercidos de recursos </w:t>
      </w:r>
      <w:r w:rsidR="0023197D">
        <w:t>fiscales en el ejercicio 2021</w:t>
      </w:r>
      <w:r w:rsidR="00896964">
        <w:t>.</w:t>
      </w:r>
    </w:p>
    <w:p w14:paraId="1F088C51" w14:textId="6D592969" w:rsidR="000D2890" w:rsidRDefault="000D2890"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276C2DA6"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 xml:space="preserve">de enero al </w:t>
      </w:r>
      <w:r w:rsidR="009B2465">
        <w:rPr>
          <w:rFonts w:ascii="Gotham Rounded Book" w:hAnsi="Gotham Rounded Book"/>
        </w:rPr>
        <w:t>31</w:t>
      </w:r>
      <w:r w:rsidR="0050528C">
        <w:rPr>
          <w:rFonts w:ascii="Gotham Rounded Book" w:hAnsi="Gotham Rounded Book"/>
        </w:rPr>
        <w:t xml:space="preserve"> d</w:t>
      </w:r>
      <w:r w:rsidR="00E65DB3">
        <w:rPr>
          <w:rFonts w:ascii="Gotham Rounded Book" w:hAnsi="Gotham Rounded Book"/>
        </w:rPr>
        <w:t xml:space="preserve">e </w:t>
      </w:r>
      <w:r w:rsidR="009B2465">
        <w:rPr>
          <w:rFonts w:ascii="Gotham Rounded Book" w:hAnsi="Gotham Rounded Book"/>
        </w:rPr>
        <w:t xml:space="preserve">diciembre </w:t>
      </w:r>
      <w:r w:rsidR="00C3391B">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w:t>
      </w:r>
      <w:r w:rsidR="00F61D70">
        <w:rPr>
          <w:rFonts w:ascii="Gotham Rounded Book" w:hAnsi="Gotham Rounded Book"/>
        </w:rPr>
        <w:t>1</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7496BE43" w14:textId="64FCCE71" w:rsidR="00F61D70" w:rsidRDefault="005F6BEF" w:rsidP="00015040">
      <w:pPr>
        <w:ind w:left="0" w:firstLine="0"/>
        <w:rPr>
          <w:rFonts w:ascii="Gotham Rounded Book" w:hAnsi="Gotham Rounded Book"/>
        </w:rPr>
      </w:pPr>
      <w:r>
        <w:rPr>
          <w:rFonts w:ascii="Gotham Rounded Book" w:hAnsi="Gotham Rounded Book"/>
        </w:rPr>
        <w:t xml:space="preserve">El presupuesto modificado corresponde a </w:t>
      </w:r>
      <w:r w:rsidR="004679BF">
        <w:rPr>
          <w:rFonts w:ascii="Gotham Rounded Book" w:hAnsi="Gotham Rounded Book"/>
        </w:rPr>
        <w:t>$</w:t>
      </w:r>
      <w:r w:rsidR="00C3391B" w:rsidRPr="00C3391B">
        <w:rPr>
          <w:rFonts w:ascii="Gotham Rounded Book" w:hAnsi="Gotham Rounded Book"/>
        </w:rPr>
        <w:t xml:space="preserve"> </w:t>
      </w:r>
      <w:r w:rsidR="0095307E" w:rsidRPr="0095307E">
        <w:rPr>
          <w:rFonts w:ascii="Gotham Rounded Book" w:hAnsi="Gotham Rounded Book"/>
        </w:rPr>
        <w:t>147,868,308</w:t>
      </w:r>
      <w:r w:rsidR="004679BF">
        <w:rPr>
          <w:rFonts w:ascii="Gotham Rounded Book" w:hAnsi="Gotham Rounded Book"/>
        </w:rPr>
        <w:t xml:space="preserve">, </w:t>
      </w:r>
      <w:r w:rsidR="00F52624">
        <w:rPr>
          <w:rFonts w:ascii="Gotham Rounded Book" w:hAnsi="Gotham Rounded Book"/>
        </w:rPr>
        <w:t xml:space="preserve">de </w:t>
      </w:r>
      <w:r>
        <w:rPr>
          <w:rFonts w:ascii="Gotham Rounded Book" w:hAnsi="Gotham Rounded Book"/>
        </w:rPr>
        <w:t>los recursos recibidos de la Secretaría de Administración y Finanzas</w:t>
      </w:r>
      <w:r w:rsidR="00F52624">
        <w:rPr>
          <w:rFonts w:ascii="Gotham Rounded Book" w:hAnsi="Gotham Rounded Book"/>
        </w:rPr>
        <w:t xml:space="preserve">, </w:t>
      </w:r>
      <w:r w:rsidR="0095307E">
        <w:rPr>
          <w:rFonts w:ascii="Gotham Rounded Book" w:hAnsi="Gotham Rounded Book"/>
        </w:rPr>
        <w:t xml:space="preserve">menos el reintegro realizado el día 4 de enero de 2022, por los recursos no ejercidos, por 381,798 pesos, </w:t>
      </w:r>
      <w:r w:rsidR="00F52624">
        <w:rPr>
          <w:rFonts w:ascii="Gotham Rounded Book" w:hAnsi="Gotham Rounded Book"/>
        </w:rPr>
        <w:t>más las ampliaciones liquidas autorizadas por el Pleno del Instituto por $</w:t>
      </w:r>
      <w:r w:rsidR="00076BDB" w:rsidRPr="00076BDB">
        <w:t xml:space="preserve"> </w:t>
      </w:r>
      <w:r w:rsidR="00076BDB" w:rsidRPr="00076BDB">
        <w:rPr>
          <w:rFonts w:ascii="Gotham Rounded Book" w:hAnsi="Gotham Rounded Book"/>
        </w:rPr>
        <w:t>674,991.49</w:t>
      </w:r>
      <w:r w:rsidR="00F52624">
        <w:rPr>
          <w:rFonts w:ascii="Gotham Rounded Book" w:hAnsi="Gotham Rounded Book"/>
        </w:rPr>
        <w:t xml:space="preserve">. </w:t>
      </w:r>
    </w:p>
    <w:tbl>
      <w:tblPr>
        <w:tblW w:w="0" w:type="auto"/>
        <w:tblLook w:val="00A0" w:firstRow="1" w:lastRow="0" w:firstColumn="1" w:lastColumn="0" w:noHBand="0" w:noVBand="0"/>
      </w:tblPr>
      <w:tblGrid>
        <w:gridCol w:w="6096"/>
        <w:gridCol w:w="186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1D3592AC" w:rsidR="00015040" w:rsidRPr="00846C4A" w:rsidRDefault="000234F0" w:rsidP="0095307E">
            <w:pPr>
              <w:spacing w:after="0"/>
              <w:jc w:val="right"/>
              <w:rPr>
                <w:rFonts w:ascii="Gotham Rounded Book" w:hAnsi="Gotham Rounded Book"/>
              </w:rPr>
            </w:pPr>
            <w:r w:rsidRPr="00846C4A">
              <w:rPr>
                <w:rFonts w:ascii="Gotham Rounded Book" w:hAnsi="Gotham Rounded Book"/>
              </w:rPr>
              <w:t>$</w:t>
            </w:r>
            <w:r w:rsidR="0095307E">
              <w:rPr>
                <w:rFonts w:ascii="Gotham Rounded Book" w:hAnsi="Gotham Rounded Book"/>
              </w:rPr>
              <w:t>148,161,502</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1A28ECF4" w:rsidR="00015040" w:rsidRPr="00846C4A" w:rsidRDefault="000234F0" w:rsidP="0095307E">
            <w:pPr>
              <w:spacing w:after="0"/>
              <w:jc w:val="right"/>
              <w:rPr>
                <w:rFonts w:ascii="Gotham Rounded Book" w:hAnsi="Gotham Rounded Book"/>
              </w:rPr>
            </w:pPr>
            <w:r w:rsidRPr="00846C4A">
              <w:rPr>
                <w:rFonts w:ascii="Gotham Rounded Book" w:hAnsi="Gotham Rounded Book"/>
              </w:rPr>
              <w:t>$</w:t>
            </w:r>
            <w:r w:rsidR="0095307E">
              <w:rPr>
                <w:rFonts w:ascii="Gotham Rounded Book" w:hAnsi="Gotham Rounded Book"/>
              </w:rPr>
              <w:t>148,161,502</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2146C6BE" w:rsidR="00754404" w:rsidRPr="009D3AA6" w:rsidRDefault="000234F0" w:rsidP="0095307E">
            <w:pPr>
              <w:spacing w:after="0"/>
              <w:jc w:val="right"/>
              <w:rPr>
                <w:rFonts w:ascii="Gotham Rounded Book" w:hAnsi="Gotham Rounded Book"/>
              </w:rPr>
            </w:pPr>
            <w:r>
              <w:rPr>
                <w:rFonts w:ascii="Gotham Rounded Book" w:hAnsi="Gotham Rounded Book"/>
              </w:rPr>
              <w:t>$</w:t>
            </w:r>
            <w:r w:rsidR="0095307E">
              <w:rPr>
                <w:rFonts w:ascii="Gotham Rounded Book" w:hAnsi="Gotham Rounded Book"/>
              </w:rPr>
              <w:t>0</w:t>
            </w:r>
          </w:p>
        </w:tc>
      </w:tr>
    </w:tbl>
    <w:p w14:paraId="1ADCB851" w14:textId="77777777" w:rsidR="00ED32C8" w:rsidRDefault="00ED32C8" w:rsidP="00735F7E">
      <w:pPr>
        <w:pStyle w:val="Textoindependiente22"/>
        <w:rPr>
          <w:rFonts w:ascii="Gotham Rounded Book" w:eastAsia="Calibri" w:hAnsi="Gotham Rounded Book"/>
          <w:sz w:val="22"/>
          <w:szCs w:val="22"/>
          <w:lang w:val="es-MX" w:eastAsia="en-US"/>
        </w:rPr>
      </w:pPr>
    </w:p>
    <w:p w14:paraId="425080D9" w14:textId="77777777" w:rsidR="001E6526" w:rsidRDefault="001E6526" w:rsidP="00735F7E">
      <w:pPr>
        <w:pStyle w:val="Textoindependiente22"/>
        <w:rPr>
          <w:rFonts w:ascii="Gotham Rounded Book" w:eastAsia="Calibri" w:hAnsi="Gotham Rounded Book"/>
          <w:sz w:val="22"/>
          <w:szCs w:val="22"/>
          <w:lang w:val="es-MX" w:eastAsia="en-US"/>
        </w:rPr>
      </w:pPr>
    </w:p>
    <w:p w14:paraId="25F08703" w14:textId="3DE5AD1E" w:rsidR="00FD3776" w:rsidRDefault="001E6526" w:rsidP="001E6526">
      <w:pPr>
        <w:pStyle w:val="Texto"/>
        <w:autoSpaceDE w:val="0"/>
        <w:autoSpaceDN w:val="0"/>
        <w:adjustRightInd w:val="0"/>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El Pleno del Instituto de Transparencia, Acceso a la Información Pública, Protección de Datos Personales y Rendición de Cuentas de la Ciudad de México, aprobó mediante Acuerdo </w:t>
      </w:r>
      <w:r w:rsidRPr="00522539">
        <w:rPr>
          <w:rFonts w:ascii="Gotham Rounded Book" w:hAnsi="Gotham Rounded Book"/>
          <w:sz w:val="22"/>
          <w:szCs w:val="22"/>
        </w:rPr>
        <w:t>1</w:t>
      </w:r>
      <w:r>
        <w:rPr>
          <w:rFonts w:ascii="Gotham Rounded Book" w:hAnsi="Gotham Rounded Book"/>
          <w:sz w:val="22"/>
          <w:szCs w:val="22"/>
        </w:rPr>
        <w:t>766</w:t>
      </w:r>
      <w:r w:rsidR="00E512B8">
        <w:rPr>
          <w:rFonts w:ascii="Gotham Rounded Book" w:hAnsi="Gotham Rounded Book"/>
          <w:sz w:val="22"/>
          <w:szCs w:val="22"/>
        </w:rPr>
        <w:t>/SO</w:t>
      </w:r>
      <w:r w:rsidRPr="00522539">
        <w:rPr>
          <w:rFonts w:ascii="Gotham Rounded Book" w:hAnsi="Gotham Rounded Book"/>
          <w:sz w:val="22"/>
          <w:szCs w:val="22"/>
        </w:rPr>
        <w:t>/</w:t>
      </w:r>
      <w:r>
        <w:rPr>
          <w:rFonts w:ascii="Gotham Rounded Book" w:hAnsi="Gotham Rounded Book"/>
          <w:sz w:val="22"/>
          <w:szCs w:val="22"/>
        </w:rPr>
        <w:t>20-10</w:t>
      </w:r>
      <w:r w:rsidRPr="00522539">
        <w:rPr>
          <w:rFonts w:ascii="Gotham Rounded Book" w:hAnsi="Gotham Rounded Book"/>
          <w:sz w:val="22"/>
          <w:szCs w:val="22"/>
        </w:rPr>
        <w:t>/202</w:t>
      </w:r>
      <w:r>
        <w:rPr>
          <w:rFonts w:ascii="Gotham Rounded Book" w:hAnsi="Gotham Rounded Book"/>
          <w:sz w:val="22"/>
          <w:szCs w:val="22"/>
        </w:rPr>
        <w:t>1</w:t>
      </w:r>
      <w:r w:rsidRPr="00522539">
        <w:rPr>
          <w:rFonts w:ascii="Gotham Rounded Book" w:hAnsi="Gotham Rounded Book"/>
          <w:sz w:val="22"/>
          <w:szCs w:val="22"/>
        </w:rPr>
        <w:t xml:space="preserve">, </w:t>
      </w:r>
      <w:r>
        <w:rPr>
          <w:rFonts w:ascii="Gotham Rounded Book" w:hAnsi="Gotham Rounded Book"/>
          <w:sz w:val="22"/>
          <w:szCs w:val="22"/>
        </w:rPr>
        <w:t xml:space="preserve">del 20 </w:t>
      </w:r>
      <w:r w:rsidRPr="00522539">
        <w:rPr>
          <w:rFonts w:ascii="Gotham Rounded Book" w:hAnsi="Gotham Rounded Book"/>
          <w:sz w:val="22"/>
          <w:szCs w:val="22"/>
        </w:rPr>
        <w:t xml:space="preserve">de </w:t>
      </w:r>
      <w:r>
        <w:rPr>
          <w:rFonts w:ascii="Gotham Rounded Book" w:hAnsi="Gotham Rounded Book"/>
          <w:sz w:val="22"/>
          <w:szCs w:val="22"/>
        </w:rPr>
        <w:t xml:space="preserve">octubre de </w:t>
      </w:r>
      <w:r w:rsidRPr="00522539">
        <w:rPr>
          <w:rFonts w:ascii="Gotham Rounded Book" w:hAnsi="Gotham Rounded Book"/>
          <w:sz w:val="22"/>
          <w:szCs w:val="22"/>
        </w:rPr>
        <w:t>202</w:t>
      </w:r>
      <w:r>
        <w:rPr>
          <w:rFonts w:ascii="Gotham Rounded Book" w:hAnsi="Gotham Rounded Book"/>
          <w:sz w:val="22"/>
          <w:szCs w:val="22"/>
        </w:rPr>
        <w:t>1, la Afectación Externa núm. 11 en la que se amplió el Presupuesto de Egresos del Ejercicio F</w:t>
      </w:r>
      <w:r w:rsidRPr="00522539">
        <w:rPr>
          <w:rFonts w:ascii="Gotham Rounded Book" w:hAnsi="Gotham Rounded Book"/>
          <w:sz w:val="22"/>
          <w:szCs w:val="22"/>
        </w:rPr>
        <w:t>iscal 202</w:t>
      </w:r>
      <w:r>
        <w:rPr>
          <w:rFonts w:ascii="Gotham Rounded Book" w:hAnsi="Gotham Rounded Book"/>
          <w:sz w:val="22"/>
          <w:szCs w:val="22"/>
        </w:rPr>
        <w:t>1</w:t>
      </w:r>
      <w:r w:rsidRPr="00522539">
        <w:rPr>
          <w:rFonts w:ascii="Gotham Rounded Book" w:hAnsi="Gotham Rounded Book"/>
          <w:sz w:val="22"/>
          <w:szCs w:val="22"/>
        </w:rPr>
        <w:t xml:space="preserve">, </w:t>
      </w:r>
      <w:r>
        <w:rPr>
          <w:rFonts w:ascii="Gotham Rounded Book" w:hAnsi="Gotham Rounded Book"/>
          <w:sz w:val="22"/>
          <w:szCs w:val="22"/>
        </w:rPr>
        <w:t>en 386,850.60 pesos, con la finalidad de que el Instituto se encuentre en posibilidad de adquirir dos vehículos, sustituyendo dos unidades siniestradas.</w:t>
      </w:r>
      <w:r w:rsidR="00FD3776">
        <w:rPr>
          <w:rFonts w:ascii="Gotham Rounded Book" w:hAnsi="Gotham Rounded Book"/>
          <w:sz w:val="22"/>
          <w:szCs w:val="22"/>
        </w:rPr>
        <w:t xml:space="preserve"> Los recursos están integrados de la siguiente manera:</w:t>
      </w:r>
    </w:p>
    <w:p w14:paraId="7E819AC0" w14:textId="77777777" w:rsidR="00FD3776" w:rsidRDefault="00FD3776" w:rsidP="001E6526">
      <w:pPr>
        <w:pStyle w:val="Texto"/>
        <w:autoSpaceDE w:val="0"/>
        <w:autoSpaceDN w:val="0"/>
        <w:adjustRightInd w:val="0"/>
        <w:spacing w:after="0" w:line="276" w:lineRule="auto"/>
        <w:ind w:left="0" w:firstLine="0"/>
        <w:rPr>
          <w:rFonts w:ascii="Gotham Rounded Book" w:hAnsi="Gotham Rounded Book"/>
          <w:sz w:val="22"/>
          <w:szCs w:val="22"/>
        </w:rPr>
      </w:pPr>
    </w:p>
    <w:tbl>
      <w:tblPr>
        <w:tblStyle w:val="Tablaconcuadrcula"/>
        <w:tblW w:w="0" w:type="auto"/>
        <w:tblLook w:val="04A0" w:firstRow="1" w:lastRow="0" w:firstColumn="1" w:lastColumn="0" w:noHBand="0" w:noVBand="1"/>
      </w:tblPr>
      <w:tblGrid>
        <w:gridCol w:w="2621"/>
        <w:gridCol w:w="5146"/>
        <w:gridCol w:w="1862"/>
      </w:tblGrid>
      <w:tr w:rsidR="00FD3776" w:rsidRPr="00B624A7" w14:paraId="6028515C" w14:textId="77777777" w:rsidTr="00EF71C0">
        <w:tc>
          <w:tcPr>
            <w:tcW w:w="2660" w:type="dxa"/>
          </w:tcPr>
          <w:p w14:paraId="5D302C72" w14:textId="39815823" w:rsidR="00FD3776" w:rsidRPr="00B624A7" w:rsidRDefault="00FD3776" w:rsidP="00B25809">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C</w:t>
            </w:r>
            <w:r w:rsidR="00B25809" w:rsidRPr="00B624A7">
              <w:rPr>
                <w:rFonts w:ascii="Gotham Rounded Book" w:hAnsi="Gotham Rounded Book"/>
                <w:sz w:val="20"/>
              </w:rPr>
              <w:t>uenta</w:t>
            </w:r>
            <w:r w:rsidR="005A2914">
              <w:rPr>
                <w:rFonts w:ascii="Gotham Rounded Book" w:hAnsi="Gotham Rounded Book"/>
                <w:sz w:val="20"/>
              </w:rPr>
              <w:t xml:space="preserve"> Contable</w:t>
            </w:r>
          </w:p>
        </w:tc>
        <w:tc>
          <w:tcPr>
            <w:tcW w:w="5245" w:type="dxa"/>
          </w:tcPr>
          <w:p w14:paraId="1C25EBA1" w14:textId="30A37898" w:rsidR="00FD3776" w:rsidRPr="00B624A7" w:rsidRDefault="00B25809" w:rsidP="00B25809">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Concepto</w:t>
            </w:r>
          </w:p>
        </w:tc>
        <w:tc>
          <w:tcPr>
            <w:tcW w:w="1874" w:type="dxa"/>
          </w:tcPr>
          <w:p w14:paraId="75CD4DA3" w14:textId="57837216" w:rsidR="00FD3776" w:rsidRPr="00B624A7" w:rsidRDefault="00FD3776" w:rsidP="00B25809">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Monto</w:t>
            </w:r>
            <w:r w:rsidR="00F52624">
              <w:rPr>
                <w:rFonts w:ascii="Gotham Rounded Book" w:hAnsi="Gotham Rounded Book"/>
                <w:sz w:val="20"/>
              </w:rPr>
              <w:t xml:space="preserve"> en pesos</w:t>
            </w:r>
          </w:p>
        </w:tc>
      </w:tr>
      <w:tr w:rsidR="00FD3776" w:rsidRPr="00B624A7" w14:paraId="1F504A1A" w14:textId="77777777" w:rsidTr="00EF71C0">
        <w:tc>
          <w:tcPr>
            <w:tcW w:w="2660" w:type="dxa"/>
          </w:tcPr>
          <w:p w14:paraId="2D7132C6" w14:textId="70DB124D" w:rsidR="00FD3776" w:rsidRPr="00B624A7" w:rsidRDefault="00FD3776"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y beneficios varios</w:t>
            </w:r>
          </w:p>
        </w:tc>
        <w:tc>
          <w:tcPr>
            <w:tcW w:w="5245" w:type="dxa"/>
          </w:tcPr>
          <w:p w14:paraId="6AB59817" w14:textId="6397B75A" w:rsidR="00FD3776" w:rsidRPr="00B624A7" w:rsidRDefault="00FD3776"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 xml:space="preserve">Indemnización realizada por Seguros Atlas del vehículo Nissan </w:t>
            </w:r>
            <w:proofErr w:type="spellStart"/>
            <w:r w:rsidRPr="00B624A7">
              <w:rPr>
                <w:rFonts w:ascii="Gotham Rounded Book" w:hAnsi="Gotham Rounded Book"/>
                <w:sz w:val="20"/>
              </w:rPr>
              <w:t>Tiida</w:t>
            </w:r>
            <w:proofErr w:type="spellEnd"/>
            <w:r w:rsidRPr="00B624A7">
              <w:rPr>
                <w:rFonts w:ascii="Gotham Rounded Book" w:hAnsi="Gotham Rounded Book"/>
                <w:sz w:val="20"/>
              </w:rPr>
              <w:t xml:space="preserve"> </w:t>
            </w:r>
            <w:proofErr w:type="spellStart"/>
            <w:r w:rsidRPr="00B624A7">
              <w:rPr>
                <w:rFonts w:ascii="Gotham Rounded Book" w:hAnsi="Gotham Rounded Book"/>
                <w:sz w:val="20"/>
              </w:rPr>
              <w:t>Sentra</w:t>
            </w:r>
            <w:proofErr w:type="spellEnd"/>
            <w:r w:rsidRPr="00B624A7">
              <w:rPr>
                <w:rFonts w:ascii="Gotham Rounded Book" w:hAnsi="Gotham Rounded Book"/>
                <w:sz w:val="20"/>
              </w:rPr>
              <w:t xml:space="preserve"> 2015</w:t>
            </w:r>
          </w:p>
        </w:tc>
        <w:tc>
          <w:tcPr>
            <w:tcW w:w="1874" w:type="dxa"/>
          </w:tcPr>
          <w:p w14:paraId="5398931B" w14:textId="0789EA8F" w:rsidR="00FD3776" w:rsidRPr="00B624A7" w:rsidRDefault="00FD3776"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85,346.26</w:t>
            </w:r>
          </w:p>
        </w:tc>
      </w:tr>
      <w:tr w:rsidR="00FD3776" w:rsidRPr="00B624A7" w14:paraId="5B8C4E48" w14:textId="77777777" w:rsidTr="00EF71C0">
        <w:tc>
          <w:tcPr>
            <w:tcW w:w="2660" w:type="dxa"/>
          </w:tcPr>
          <w:p w14:paraId="1121962A" w14:textId="2032E0DC" w:rsidR="00FD3776" w:rsidRPr="00B624A7" w:rsidRDefault="00FD3776"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y beneficios varios</w:t>
            </w:r>
          </w:p>
        </w:tc>
        <w:tc>
          <w:tcPr>
            <w:tcW w:w="5245" w:type="dxa"/>
          </w:tcPr>
          <w:p w14:paraId="508A825A" w14:textId="5F14B569" w:rsidR="00FD3776" w:rsidRPr="00B624A7" w:rsidRDefault="00FD3776"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 xml:space="preserve">Indemnización realizada por Seguros Atlas del vehículo Honda </w:t>
            </w:r>
            <w:proofErr w:type="spellStart"/>
            <w:r w:rsidRPr="00B624A7">
              <w:rPr>
                <w:rFonts w:ascii="Gotham Rounded Book" w:hAnsi="Gotham Rounded Book"/>
                <w:sz w:val="20"/>
              </w:rPr>
              <w:t>Civic</w:t>
            </w:r>
            <w:proofErr w:type="spellEnd"/>
            <w:r w:rsidRPr="00B624A7">
              <w:rPr>
                <w:rFonts w:ascii="Gotham Rounded Book" w:hAnsi="Gotham Rounded Book"/>
                <w:sz w:val="20"/>
              </w:rPr>
              <w:t xml:space="preserve"> 2012.</w:t>
            </w:r>
          </w:p>
        </w:tc>
        <w:tc>
          <w:tcPr>
            <w:tcW w:w="1874" w:type="dxa"/>
          </w:tcPr>
          <w:p w14:paraId="6CB7A044" w14:textId="2D20D187" w:rsidR="00FD3776" w:rsidRPr="00B624A7" w:rsidRDefault="00FD3776"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110,783.26</w:t>
            </w:r>
          </w:p>
        </w:tc>
      </w:tr>
      <w:tr w:rsidR="00B25809" w:rsidRPr="00B624A7" w14:paraId="7D580CB1" w14:textId="77777777" w:rsidTr="00EF71C0">
        <w:tc>
          <w:tcPr>
            <w:tcW w:w="2660" w:type="dxa"/>
          </w:tcPr>
          <w:p w14:paraId="53DC4A96" w14:textId="3CD67126" w:rsidR="00B25809" w:rsidRPr="00B624A7" w:rsidRDefault="00B25809"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financieros</w:t>
            </w:r>
          </w:p>
        </w:tc>
        <w:tc>
          <w:tcPr>
            <w:tcW w:w="5245" w:type="dxa"/>
          </w:tcPr>
          <w:p w14:paraId="45263E80" w14:textId="1BFE06BE" w:rsidR="00B25809" w:rsidRPr="00B624A7" w:rsidRDefault="00B624A7"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Rendimientos financieros generados de febrero a mayo en la cuenta de inversión número de contrato 2050834165</w:t>
            </w:r>
          </w:p>
        </w:tc>
        <w:tc>
          <w:tcPr>
            <w:tcW w:w="1874" w:type="dxa"/>
          </w:tcPr>
          <w:p w14:paraId="67387E74" w14:textId="3F16464B" w:rsidR="00B25809" w:rsidRPr="00B624A7" w:rsidRDefault="00B624A7"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137,631.89</w:t>
            </w:r>
          </w:p>
        </w:tc>
      </w:tr>
      <w:tr w:rsidR="00B25809" w:rsidRPr="00B624A7" w14:paraId="316CA6E8" w14:textId="77777777" w:rsidTr="00EF71C0">
        <w:tc>
          <w:tcPr>
            <w:tcW w:w="2660" w:type="dxa"/>
          </w:tcPr>
          <w:p w14:paraId="44F8A146" w14:textId="39FDF352" w:rsidR="00B25809" w:rsidRPr="00B624A7" w:rsidRDefault="00B624A7" w:rsidP="001E6526">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financieros</w:t>
            </w:r>
          </w:p>
        </w:tc>
        <w:tc>
          <w:tcPr>
            <w:tcW w:w="5245" w:type="dxa"/>
          </w:tcPr>
          <w:p w14:paraId="114FCE34" w14:textId="33875586" w:rsidR="00B25809" w:rsidRPr="00B624A7" w:rsidRDefault="00B624A7" w:rsidP="00B624A7">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Rendimientos financieros generados en junio en la cuenta de inversión número de contrato 2050834165. Utilizando solo una parte.</w:t>
            </w:r>
          </w:p>
        </w:tc>
        <w:tc>
          <w:tcPr>
            <w:tcW w:w="1874" w:type="dxa"/>
          </w:tcPr>
          <w:p w14:paraId="3DA65737" w14:textId="16D58867" w:rsidR="00B25809" w:rsidRPr="00B624A7" w:rsidRDefault="00B624A7"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53,089.19</w:t>
            </w:r>
          </w:p>
        </w:tc>
      </w:tr>
      <w:tr w:rsidR="00B624A7" w:rsidRPr="00B624A7" w14:paraId="6299900F" w14:textId="77777777" w:rsidTr="00EF1D02">
        <w:tc>
          <w:tcPr>
            <w:tcW w:w="7905" w:type="dxa"/>
            <w:gridSpan w:val="2"/>
          </w:tcPr>
          <w:p w14:paraId="578B0B2A" w14:textId="20A39982" w:rsidR="00B624A7" w:rsidRPr="00B624A7" w:rsidRDefault="00B624A7" w:rsidP="00B624A7">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Total</w:t>
            </w:r>
          </w:p>
        </w:tc>
        <w:tc>
          <w:tcPr>
            <w:tcW w:w="1874" w:type="dxa"/>
          </w:tcPr>
          <w:p w14:paraId="0C383017" w14:textId="69E8D37D" w:rsidR="00B624A7" w:rsidRPr="00B624A7" w:rsidRDefault="00B624A7" w:rsidP="00FD3776">
            <w:pPr>
              <w:pStyle w:val="Texto"/>
              <w:autoSpaceDE w:val="0"/>
              <w:autoSpaceDN w:val="0"/>
              <w:adjustRightInd w:val="0"/>
              <w:spacing w:after="0" w:line="276" w:lineRule="auto"/>
              <w:ind w:left="0" w:right="207" w:firstLine="0"/>
              <w:jc w:val="right"/>
              <w:rPr>
                <w:rFonts w:ascii="Gotham Rounded Book" w:hAnsi="Gotham Rounded Book"/>
                <w:sz w:val="20"/>
              </w:rPr>
            </w:pPr>
            <w:r w:rsidRPr="00B624A7">
              <w:rPr>
                <w:rFonts w:ascii="Gotham Rounded Book" w:hAnsi="Gotham Rounded Book"/>
                <w:sz w:val="20"/>
              </w:rPr>
              <w:t>386,850.60</w:t>
            </w:r>
          </w:p>
        </w:tc>
      </w:tr>
    </w:tbl>
    <w:p w14:paraId="6F73DD7F" w14:textId="21B24A5E" w:rsidR="00FD3776" w:rsidRDefault="00FD3776" w:rsidP="001E6526">
      <w:pPr>
        <w:pStyle w:val="Texto"/>
        <w:autoSpaceDE w:val="0"/>
        <w:autoSpaceDN w:val="0"/>
        <w:adjustRightInd w:val="0"/>
        <w:spacing w:after="0" w:line="276" w:lineRule="auto"/>
        <w:ind w:left="0" w:firstLine="0"/>
        <w:rPr>
          <w:rFonts w:ascii="Gotham Rounded Book" w:hAnsi="Gotham Rounded Book"/>
          <w:sz w:val="22"/>
          <w:szCs w:val="22"/>
        </w:rPr>
      </w:pPr>
    </w:p>
    <w:p w14:paraId="41DBA297" w14:textId="4F2C180D" w:rsidR="00E512B8" w:rsidRDefault="00E512B8" w:rsidP="00E512B8">
      <w:pPr>
        <w:pStyle w:val="Texto"/>
        <w:autoSpaceDE w:val="0"/>
        <w:autoSpaceDN w:val="0"/>
        <w:adjustRightInd w:val="0"/>
        <w:spacing w:after="0" w:line="276" w:lineRule="auto"/>
        <w:ind w:left="0" w:firstLine="0"/>
        <w:rPr>
          <w:rFonts w:ascii="Gotham Rounded Book" w:hAnsi="Gotham Rounded Book"/>
          <w:sz w:val="22"/>
          <w:szCs w:val="22"/>
        </w:rPr>
      </w:pPr>
      <w:r>
        <w:rPr>
          <w:rFonts w:ascii="Gotham Rounded Book" w:hAnsi="Gotham Rounded Book"/>
          <w:sz w:val="22"/>
          <w:szCs w:val="22"/>
        </w:rPr>
        <w:t xml:space="preserve">Adicionalmente, el Pleno del Instituto de Transparencia, Acceso a la Información Pública, Protección de Datos Personales y Rendición de Cuentas de la Ciudad de México, aprobó mediante Acuerdo </w:t>
      </w:r>
      <w:r w:rsidRPr="00522539">
        <w:rPr>
          <w:rFonts w:ascii="Gotham Rounded Book" w:hAnsi="Gotham Rounded Book"/>
          <w:sz w:val="22"/>
          <w:szCs w:val="22"/>
        </w:rPr>
        <w:t>1</w:t>
      </w:r>
      <w:r>
        <w:rPr>
          <w:rFonts w:ascii="Gotham Rounded Book" w:hAnsi="Gotham Rounded Book"/>
          <w:sz w:val="22"/>
          <w:szCs w:val="22"/>
        </w:rPr>
        <w:t>766/SO</w:t>
      </w:r>
      <w:r w:rsidRPr="00522539">
        <w:rPr>
          <w:rFonts w:ascii="Gotham Rounded Book" w:hAnsi="Gotham Rounded Book"/>
          <w:sz w:val="22"/>
          <w:szCs w:val="22"/>
        </w:rPr>
        <w:t>/</w:t>
      </w:r>
      <w:r>
        <w:rPr>
          <w:rFonts w:ascii="Gotham Rounded Book" w:hAnsi="Gotham Rounded Book"/>
          <w:sz w:val="22"/>
          <w:szCs w:val="22"/>
        </w:rPr>
        <w:t>20-10</w:t>
      </w:r>
      <w:r w:rsidRPr="00522539">
        <w:rPr>
          <w:rFonts w:ascii="Gotham Rounded Book" w:hAnsi="Gotham Rounded Book"/>
          <w:sz w:val="22"/>
          <w:szCs w:val="22"/>
        </w:rPr>
        <w:t>/202</w:t>
      </w:r>
      <w:r>
        <w:rPr>
          <w:rFonts w:ascii="Gotham Rounded Book" w:hAnsi="Gotham Rounded Book"/>
          <w:sz w:val="22"/>
          <w:szCs w:val="22"/>
        </w:rPr>
        <w:t>1</w:t>
      </w:r>
      <w:r w:rsidRPr="00522539">
        <w:rPr>
          <w:rFonts w:ascii="Gotham Rounded Book" w:hAnsi="Gotham Rounded Book"/>
          <w:sz w:val="22"/>
          <w:szCs w:val="22"/>
        </w:rPr>
        <w:t xml:space="preserve">, </w:t>
      </w:r>
      <w:r>
        <w:rPr>
          <w:rFonts w:ascii="Gotham Rounded Book" w:hAnsi="Gotham Rounded Book"/>
          <w:sz w:val="22"/>
          <w:szCs w:val="22"/>
        </w:rPr>
        <w:t xml:space="preserve">del 20 </w:t>
      </w:r>
      <w:r w:rsidRPr="00522539">
        <w:rPr>
          <w:rFonts w:ascii="Gotham Rounded Book" w:hAnsi="Gotham Rounded Book"/>
          <w:sz w:val="22"/>
          <w:szCs w:val="22"/>
        </w:rPr>
        <w:t xml:space="preserve">de </w:t>
      </w:r>
      <w:r>
        <w:rPr>
          <w:rFonts w:ascii="Gotham Rounded Book" w:hAnsi="Gotham Rounded Book"/>
          <w:sz w:val="22"/>
          <w:szCs w:val="22"/>
        </w:rPr>
        <w:t xml:space="preserve">octubre de </w:t>
      </w:r>
      <w:r w:rsidRPr="00522539">
        <w:rPr>
          <w:rFonts w:ascii="Gotham Rounded Book" w:hAnsi="Gotham Rounded Book"/>
          <w:sz w:val="22"/>
          <w:szCs w:val="22"/>
        </w:rPr>
        <w:t>202</w:t>
      </w:r>
      <w:r>
        <w:rPr>
          <w:rFonts w:ascii="Gotham Rounded Book" w:hAnsi="Gotham Rounded Book"/>
          <w:sz w:val="22"/>
          <w:szCs w:val="22"/>
        </w:rPr>
        <w:t>1, la Afectación Externa núm. 13 en la que se amplió el Presupuesto de Egresos del Ejercicio F</w:t>
      </w:r>
      <w:r w:rsidRPr="00522539">
        <w:rPr>
          <w:rFonts w:ascii="Gotham Rounded Book" w:hAnsi="Gotham Rounded Book"/>
          <w:sz w:val="22"/>
          <w:szCs w:val="22"/>
        </w:rPr>
        <w:t>iscal 202</w:t>
      </w:r>
      <w:r>
        <w:rPr>
          <w:rFonts w:ascii="Gotham Rounded Book" w:hAnsi="Gotham Rounded Book"/>
          <w:sz w:val="22"/>
          <w:szCs w:val="22"/>
        </w:rPr>
        <w:t>1</w:t>
      </w:r>
      <w:r w:rsidRPr="00522539">
        <w:rPr>
          <w:rFonts w:ascii="Gotham Rounded Book" w:hAnsi="Gotham Rounded Book"/>
          <w:sz w:val="22"/>
          <w:szCs w:val="22"/>
        </w:rPr>
        <w:t xml:space="preserve">, </w:t>
      </w:r>
      <w:r>
        <w:rPr>
          <w:rFonts w:ascii="Gotham Rounded Book" w:hAnsi="Gotham Rounded Book"/>
          <w:sz w:val="22"/>
          <w:szCs w:val="22"/>
        </w:rPr>
        <w:t xml:space="preserve">en 200,786.31 pesos, con la finalidad de que el Instituto se encuentre en posibilidad de </w:t>
      </w:r>
      <w:r w:rsidR="00093ABE">
        <w:rPr>
          <w:rFonts w:ascii="Gotham Rounded Book" w:hAnsi="Gotham Rounded Book"/>
          <w:sz w:val="22"/>
          <w:szCs w:val="22"/>
        </w:rPr>
        <w:t xml:space="preserve">otorgar  todas las personas servidoras públicas activas en el Instituto al 15 de noviembre de 2021, una prestación económica por $7,500.00 antes de </w:t>
      </w:r>
      <w:r w:rsidR="00093ABE">
        <w:rPr>
          <w:rFonts w:ascii="Gotham Rounded Book" w:hAnsi="Gotham Rounded Book"/>
          <w:sz w:val="22"/>
          <w:szCs w:val="22"/>
        </w:rPr>
        <w:lastRenderedPageBreak/>
        <w:t xml:space="preserve">impuestos , por única ocasión, en el marco de la conmemoración del 15 aniversario del Instituto. </w:t>
      </w:r>
      <w:r>
        <w:rPr>
          <w:rFonts w:ascii="Gotham Rounded Book" w:hAnsi="Gotham Rounded Book"/>
          <w:sz w:val="22"/>
          <w:szCs w:val="22"/>
        </w:rPr>
        <w:t>Los recursos están integrados de la siguiente manera:</w:t>
      </w:r>
    </w:p>
    <w:p w14:paraId="256BED22" w14:textId="77777777" w:rsidR="001E6526" w:rsidRDefault="001E6526" w:rsidP="00735F7E">
      <w:pPr>
        <w:pStyle w:val="Textoindependiente22"/>
        <w:rPr>
          <w:rFonts w:ascii="Gotham Rounded Book" w:eastAsia="Calibri" w:hAnsi="Gotham Rounded Book"/>
          <w:sz w:val="22"/>
          <w:szCs w:val="22"/>
          <w:lang w:val="es-MX" w:eastAsia="en-US"/>
        </w:rPr>
      </w:pPr>
    </w:p>
    <w:p w14:paraId="38750532" w14:textId="77777777" w:rsidR="001E6526" w:rsidRDefault="001E6526" w:rsidP="00735F7E">
      <w:pPr>
        <w:pStyle w:val="Textoindependiente22"/>
        <w:rPr>
          <w:rFonts w:ascii="Gotham Rounded Book" w:eastAsia="Calibri" w:hAnsi="Gotham Rounded Book"/>
          <w:sz w:val="22"/>
          <w:szCs w:val="22"/>
          <w:lang w:val="es-MX" w:eastAsia="en-US"/>
        </w:rPr>
      </w:pPr>
    </w:p>
    <w:tbl>
      <w:tblPr>
        <w:tblStyle w:val="Tablaconcuadrcula"/>
        <w:tblW w:w="0" w:type="auto"/>
        <w:tblLook w:val="04A0" w:firstRow="1" w:lastRow="0" w:firstColumn="1" w:lastColumn="0" w:noHBand="0" w:noVBand="1"/>
      </w:tblPr>
      <w:tblGrid>
        <w:gridCol w:w="2622"/>
        <w:gridCol w:w="5145"/>
        <w:gridCol w:w="1862"/>
      </w:tblGrid>
      <w:tr w:rsidR="00251821" w:rsidRPr="00B624A7" w14:paraId="51C739B7" w14:textId="77777777" w:rsidTr="00EF1D02">
        <w:tc>
          <w:tcPr>
            <w:tcW w:w="2660" w:type="dxa"/>
          </w:tcPr>
          <w:p w14:paraId="3D34F0E6" w14:textId="576D3633" w:rsidR="00251821" w:rsidRPr="00B624A7" w:rsidRDefault="00251821" w:rsidP="00EF1D02">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Cuenta</w:t>
            </w:r>
            <w:r w:rsidR="005A2914">
              <w:rPr>
                <w:rFonts w:ascii="Gotham Rounded Book" w:hAnsi="Gotham Rounded Book"/>
                <w:sz w:val="20"/>
              </w:rPr>
              <w:t xml:space="preserve"> Contable</w:t>
            </w:r>
          </w:p>
        </w:tc>
        <w:tc>
          <w:tcPr>
            <w:tcW w:w="5245" w:type="dxa"/>
          </w:tcPr>
          <w:p w14:paraId="330A72A2" w14:textId="77777777" w:rsidR="00251821" w:rsidRPr="00B624A7" w:rsidRDefault="00251821" w:rsidP="00EF1D02">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Concepto</w:t>
            </w:r>
          </w:p>
        </w:tc>
        <w:tc>
          <w:tcPr>
            <w:tcW w:w="1874" w:type="dxa"/>
          </w:tcPr>
          <w:p w14:paraId="32DC8AD7" w14:textId="68BCA209" w:rsidR="00251821" w:rsidRPr="00B624A7" w:rsidRDefault="00251821" w:rsidP="00EF1D02">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Monto</w:t>
            </w:r>
            <w:r w:rsidR="00F52624">
              <w:rPr>
                <w:rFonts w:ascii="Gotham Rounded Book" w:hAnsi="Gotham Rounded Book"/>
                <w:sz w:val="20"/>
              </w:rPr>
              <w:t xml:space="preserve"> en pesos</w:t>
            </w:r>
          </w:p>
        </w:tc>
      </w:tr>
      <w:tr w:rsidR="00251821" w:rsidRPr="00B624A7" w14:paraId="1EC04367" w14:textId="77777777" w:rsidTr="00EF1D02">
        <w:tc>
          <w:tcPr>
            <w:tcW w:w="2660" w:type="dxa"/>
          </w:tcPr>
          <w:p w14:paraId="3F3CE272" w14:textId="0C264153" w:rsidR="00251821" w:rsidRPr="00B624A7" w:rsidRDefault="00020BA5" w:rsidP="00EF1D02">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financieros</w:t>
            </w:r>
          </w:p>
        </w:tc>
        <w:tc>
          <w:tcPr>
            <w:tcW w:w="5245" w:type="dxa"/>
          </w:tcPr>
          <w:p w14:paraId="1DC81492" w14:textId="44067EF9" w:rsidR="00251821" w:rsidRPr="00B624A7" w:rsidRDefault="00251821" w:rsidP="00251821">
            <w:pPr>
              <w:pStyle w:val="Texto"/>
              <w:autoSpaceDE w:val="0"/>
              <w:autoSpaceDN w:val="0"/>
              <w:adjustRightInd w:val="0"/>
              <w:spacing w:after="0" w:line="276" w:lineRule="auto"/>
              <w:ind w:left="0" w:firstLine="0"/>
              <w:rPr>
                <w:rFonts w:ascii="Gotham Rounded Book" w:hAnsi="Gotham Rounded Book"/>
                <w:sz w:val="20"/>
              </w:rPr>
            </w:pPr>
            <w:r>
              <w:rPr>
                <w:rFonts w:ascii="Gotham Rounded Book" w:hAnsi="Gotham Rounded Book"/>
                <w:sz w:val="20"/>
              </w:rPr>
              <w:t xml:space="preserve">Remanente de </w:t>
            </w:r>
            <w:r w:rsidRPr="00B624A7">
              <w:rPr>
                <w:rFonts w:ascii="Gotham Rounded Book" w:hAnsi="Gotham Rounded Book"/>
                <w:sz w:val="20"/>
              </w:rPr>
              <w:t xml:space="preserve">Rendimientos financieros generados </w:t>
            </w:r>
            <w:r>
              <w:rPr>
                <w:rFonts w:ascii="Gotham Rounded Book" w:hAnsi="Gotham Rounded Book"/>
                <w:sz w:val="20"/>
              </w:rPr>
              <w:t xml:space="preserve">en junio en </w:t>
            </w:r>
            <w:r w:rsidRPr="00B624A7">
              <w:rPr>
                <w:rFonts w:ascii="Gotham Rounded Book" w:hAnsi="Gotham Rounded Book"/>
                <w:sz w:val="20"/>
              </w:rPr>
              <w:t>la cuenta de inversión número de contrato 2050834165</w:t>
            </w:r>
          </w:p>
        </w:tc>
        <w:tc>
          <w:tcPr>
            <w:tcW w:w="1874" w:type="dxa"/>
          </w:tcPr>
          <w:p w14:paraId="1FC9E0C2" w14:textId="68D0139E" w:rsidR="00251821" w:rsidRPr="00B624A7" w:rsidRDefault="00251821" w:rsidP="00EF1D02">
            <w:pPr>
              <w:pStyle w:val="Texto"/>
              <w:autoSpaceDE w:val="0"/>
              <w:autoSpaceDN w:val="0"/>
              <w:adjustRightInd w:val="0"/>
              <w:spacing w:after="0" w:line="276" w:lineRule="auto"/>
              <w:ind w:left="0" w:right="207" w:firstLine="0"/>
              <w:jc w:val="right"/>
              <w:rPr>
                <w:rFonts w:ascii="Gotham Rounded Book" w:hAnsi="Gotham Rounded Book"/>
                <w:sz w:val="20"/>
              </w:rPr>
            </w:pPr>
            <w:r w:rsidRPr="00251821">
              <w:rPr>
                <w:rFonts w:ascii="Gotham Rounded Book" w:hAnsi="Gotham Rounded Book"/>
                <w:sz w:val="20"/>
              </w:rPr>
              <w:t>876.72</w:t>
            </w:r>
          </w:p>
        </w:tc>
      </w:tr>
      <w:tr w:rsidR="00251821" w:rsidRPr="00B624A7" w14:paraId="4FE316EA" w14:textId="77777777" w:rsidTr="00EF1D02">
        <w:tc>
          <w:tcPr>
            <w:tcW w:w="2660" w:type="dxa"/>
          </w:tcPr>
          <w:p w14:paraId="50E6807D" w14:textId="77777777" w:rsidR="00251821" w:rsidRPr="00B624A7" w:rsidRDefault="00251821" w:rsidP="00EF1D02">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Otros ingresos financieros</w:t>
            </w:r>
          </w:p>
        </w:tc>
        <w:tc>
          <w:tcPr>
            <w:tcW w:w="5245" w:type="dxa"/>
          </w:tcPr>
          <w:p w14:paraId="35DC0C7C" w14:textId="37AA0785" w:rsidR="00251821" w:rsidRPr="00B624A7" w:rsidRDefault="00251821" w:rsidP="00251821">
            <w:pPr>
              <w:pStyle w:val="Texto"/>
              <w:autoSpaceDE w:val="0"/>
              <w:autoSpaceDN w:val="0"/>
              <w:adjustRightInd w:val="0"/>
              <w:spacing w:after="0" w:line="276" w:lineRule="auto"/>
              <w:ind w:left="0" w:firstLine="0"/>
              <w:rPr>
                <w:rFonts w:ascii="Gotham Rounded Book" w:hAnsi="Gotham Rounded Book"/>
                <w:sz w:val="20"/>
              </w:rPr>
            </w:pPr>
            <w:r w:rsidRPr="00B624A7">
              <w:rPr>
                <w:rFonts w:ascii="Gotham Rounded Book" w:hAnsi="Gotham Rounded Book"/>
                <w:sz w:val="20"/>
              </w:rPr>
              <w:t xml:space="preserve">Rendimientos financieros generados en </w:t>
            </w:r>
            <w:r>
              <w:rPr>
                <w:rFonts w:ascii="Gotham Rounded Book" w:hAnsi="Gotham Rounded Book"/>
                <w:sz w:val="20"/>
              </w:rPr>
              <w:t>jul</w:t>
            </w:r>
            <w:r w:rsidRPr="00B624A7">
              <w:rPr>
                <w:rFonts w:ascii="Gotham Rounded Book" w:hAnsi="Gotham Rounded Book"/>
                <w:sz w:val="20"/>
              </w:rPr>
              <w:t xml:space="preserve">io </w:t>
            </w:r>
            <w:r>
              <w:rPr>
                <w:rFonts w:ascii="Gotham Rounded Book" w:hAnsi="Gotham Rounded Book"/>
                <w:sz w:val="20"/>
              </w:rPr>
              <w:t xml:space="preserve">a septiembre </w:t>
            </w:r>
            <w:r w:rsidRPr="00B624A7">
              <w:rPr>
                <w:rFonts w:ascii="Gotham Rounded Book" w:hAnsi="Gotham Rounded Book"/>
                <w:sz w:val="20"/>
              </w:rPr>
              <w:t>en la cuenta de inversión número de contrato 2050834165</w:t>
            </w:r>
            <w:r>
              <w:rPr>
                <w:rFonts w:ascii="Gotham Rounded Book" w:hAnsi="Gotham Rounded Book"/>
                <w:sz w:val="20"/>
              </w:rPr>
              <w:t>.</w:t>
            </w:r>
          </w:p>
        </w:tc>
        <w:tc>
          <w:tcPr>
            <w:tcW w:w="1874" w:type="dxa"/>
          </w:tcPr>
          <w:p w14:paraId="55D7B90D" w14:textId="495D47C1" w:rsidR="00251821" w:rsidRPr="00B624A7" w:rsidRDefault="00251821" w:rsidP="00EF1D02">
            <w:pPr>
              <w:pStyle w:val="Texto"/>
              <w:autoSpaceDE w:val="0"/>
              <w:autoSpaceDN w:val="0"/>
              <w:adjustRightInd w:val="0"/>
              <w:spacing w:after="0" w:line="276" w:lineRule="auto"/>
              <w:ind w:left="0" w:right="207" w:firstLine="0"/>
              <w:jc w:val="right"/>
              <w:rPr>
                <w:rFonts w:ascii="Gotham Rounded Book" w:hAnsi="Gotham Rounded Book"/>
                <w:sz w:val="20"/>
              </w:rPr>
            </w:pPr>
            <w:r w:rsidRPr="00251821">
              <w:rPr>
                <w:rFonts w:ascii="Gotham Rounded Book" w:hAnsi="Gotham Rounded Book"/>
                <w:sz w:val="20"/>
              </w:rPr>
              <w:t>199,909.59</w:t>
            </w:r>
          </w:p>
        </w:tc>
      </w:tr>
      <w:tr w:rsidR="00251821" w:rsidRPr="00B624A7" w14:paraId="747A0D33" w14:textId="77777777" w:rsidTr="00EF1D02">
        <w:tc>
          <w:tcPr>
            <w:tcW w:w="7905" w:type="dxa"/>
            <w:gridSpan w:val="2"/>
          </w:tcPr>
          <w:p w14:paraId="55F2FE20" w14:textId="77777777" w:rsidR="00251821" w:rsidRPr="00B624A7" w:rsidRDefault="00251821" w:rsidP="00EF1D02">
            <w:pPr>
              <w:pStyle w:val="Texto"/>
              <w:autoSpaceDE w:val="0"/>
              <w:autoSpaceDN w:val="0"/>
              <w:adjustRightInd w:val="0"/>
              <w:spacing w:after="0" w:line="276" w:lineRule="auto"/>
              <w:ind w:left="0" w:firstLine="0"/>
              <w:jc w:val="center"/>
              <w:rPr>
                <w:rFonts w:ascii="Gotham Rounded Book" w:hAnsi="Gotham Rounded Book"/>
                <w:sz w:val="20"/>
              </w:rPr>
            </w:pPr>
            <w:r w:rsidRPr="00B624A7">
              <w:rPr>
                <w:rFonts w:ascii="Gotham Rounded Book" w:hAnsi="Gotham Rounded Book"/>
                <w:sz w:val="20"/>
              </w:rPr>
              <w:t>Total</w:t>
            </w:r>
          </w:p>
        </w:tc>
        <w:tc>
          <w:tcPr>
            <w:tcW w:w="1874" w:type="dxa"/>
          </w:tcPr>
          <w:p w14:paraId="660BF9C6" w14:textId="1C9A19F2" w:rsidR="00251821" w:rsidRPr="00B624A7" w:rsidRDefault="00251821" w:rsidP="00EF1D02">
            <w:pPr>
              <w:pStyle w:val="Texto"/>
              <w:autoSpaceDE w:val="0"/>
              <w:autoSpaceDN w:val="0"/>
              <w:adjustRightInd w:val="0"/>
              <w:spacing w:after="0" w:line="276" w:lineRule="auto"/>
              <w:ind w:left="0" w:right="207" w:firstLine="0"/>
              <w:jc w:val="right"/>
              <w:rPr>
                <w:rFonts w:ascii="Gotham Rounded Book" w:hAnsi="Gotham Rounded Book"/>
                <w:sz w:val="20"/>
              </w:rPr>
            </w:pPr>
            <w:r>
              <w:rPr>
                <w:rFonts w:ascii="Gotham Rounded Book" w:hAnsi="Gotham Rounded Book"/>
                <w:sz w:val="20"/>
              </w:rPr>
              <w:t>200,786.31</w:t>
            </w:r>
          </w:p>
        </w:tc>
      </w:tr>
    </w:tbl>
    <w:p w14:paraId="7C5532D1" w14:textId="77777777" w:rsidR="001E6526" w:rsidRDefault="001E6526" w:rsidP="00735F7E">
      <w:pPr>
        <w:pStyle w:val="Textoindependiente22"/>
        <w:rPr>
          <w:rFonts w:ascii="Gotham Rounded Book" w:eastAsia="Calibri" w:hAnsi="Gotham Rounded Book"/>
          <w:sz w:val="22"/>
          <w:szCs w:val="22"/>
          <w:lang w:val="es-MX" w:eastAsia="en-US"/>
        </w:rPr>
      </w:pPr>
    </w:p>
    <w:p w14:paraId="1FB321C7" w14:textId="1D7F16A0" w:rsidR="00BA2A3D" w:rsidRDefault="00BA2A3D" w:rsidP="00BA2A3D">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 xml:space="preserve">Con las Afectaciones Externas </w:t>
      </w:r>
      <w:proofErr w:type="spellStart"/>
      <w:r>
        <w:rPr>
          <w:rFonts w:ascii="Gotham Rounded Book" w:eastAsia="Calibri" w:hAnsi="Gotham Rounded Book"/>
          <w:sz w:val="22"/>
          <w:szCs w:val="22"/>
          <w:lang w:val="es-MX" w:eastAsia="en-US"/>
        </w:rPr>
        <w:t>núms</w:t>
      </w:r>
      <w:proofErr w:type="spellEnd"/>
      <w:r>
        <w:rPr>
          <w:rFonts w:ascii="Gotham Rounded Book" w:eastAsia="Calibri" w:hAnsi="Gotham Rounded Book"/>
          <w:sz w:val="22"/>
          <w:szCs w:val="22"/>
          <w:lang w:val="es-MX" w:eastAsia="en-US"/>
        </w:rPr>
        <w:t xml:space="preserve">. 18 y 19 el Pleno del Instituto, mediante acuerdo núm. </w:t>
      </w:r>
      <w:r w:rsidRPr="00BA2A3D">
        <w:rPr>
          <w:rFonts w:ascii="Gotham Rounded Book" w:eastAsia="Calibri" w:hAnsi="Gotham Rounded Book"/>
          <w:sz w:val="22"/>
          <w:szCs w:val="22"/>
          <w:lang w:val="es-MX" w:eastAsia="en-US"/>
        </w:rPr>
        <w:t>2161/SO/24-11/2021</w:t>
      </w:r>
      <w:r>
        <w:rPr>
          <w:rFonts w:ascii="Gotham Rounded Book" w:eastAsia="Calibri" w:hAnsi="Gotham Rounded Book"/>
          <w:sz w:val="22"/>
          <w:szCs w:val="22"/>
          <w:lang w:val="es-MX" w:eastAsia="en-US"/>
        </w:rPr>
        <w:t xml:space="preserve"> del 24 de noviembre de 2021, autoriza incrementar el techo presupuestal por un monto de $</w:t>
      </w:r>
      <w:r w:rsidRPr="00BA2A3D">
        <w:rPr>
          <w:rFonts w:ascii="Gotham Rounded Book" w:eastAsia="Calibri" w:hAnsi="Gotham Rounded Book"/>
          <w:sz w:val="22"/>
          <w:szCs w:val="22"/>
          <w:lang w:val="es-MX" w:eastAsia="en-US"/>
        </w:rPr>
        <w:t>26,292.24</w:t>
      </w:r>
      <w:r>
        <w:rPr>
          <w:rFonts w:ascii="Gotham Rounded Book" w:eastAsia="Calibri" w:hAnsi="Gotham Rounded Book"/>
          <w:sz w:val="22"/>
          <w:szCs w:val="22"/>
          <w:lang w:val="es-MX" w:eastAsia="en-US"/>
        </w:rPr>
        <w:t xml:space="preserve"> para la adquisición de equipo de cómputo; y por $61,062.34 para estar en posibilidad de adquirir equipo de transporte, respectivamente. Los recursos provienen de:</w:t>
      </w:r>
    </w:p>
    <w:p w14:paraId="3DB2440A" w14:textId="77777777" w:rsidR="00BA2A3D" w:rsidRDefault="00BA2A3D" w:rsidP="00BA2A3D">
      <w:pPr>
        <w:pStyle w:val="Textoindependiente22"/>
        <w:rPr>
          <w:rFonts w:ascii="Gotham Rounded Book" w:eastAsia="Calibri" w:hAnsi="Gotham Rounded Book"/>
          <w:sz w:val="22"/>
          <w:szCs w:val="22"/>
          <w:lang w:val="es-MX" w:eastAsia="en-US"/>
        </w:rPr>
      </w:pPr>
    </w:p>
    <w:p w14:paraId="564CD3F1" w14:textId="77777777" w:rsidR="00BA2A3D" w:rsidRDefault="00BA2A3D" w:rsidP="00BA2A3D">
      <w:pPr>
        <w:pStyle w:val="Textoindependiente22"/>
        <w:rPr>
          <w:rFonts w:ascii="Gotham Rounded Book" w:eastAsia="Calibri" w:hAnsi="Gotham Rounded Book"/>
          <w:sz w:val="22"/>
          <w:szCs w:val="22"/>
          <w:lang w:val="es-MX" w:eastAsia="en-US"/>
        </w:rPr>
      </w:pPr>
    </w:p>
    <w:tbl>
      <w:tblPr>
        <w:tblStyle w:val="Tablaconcuadrcula"/>
        <w:tblW w:w="0" w:type="auto"/>
        <w:tblLook w:val="04A0" w:firstRow="1" w:lastRow="0" w:firstColumn="1" w:lastColumn="0" w:noHBand="0" w:noVBand="1"/>
      </w:tblPr>
      <w:tblGrid>
        <w:gridCol w:w="2620"/>
        <w:gridCol w:w="5150"/>
        <w:gridCol w:w="1859"/>
      </w:tblGrid>
      <w:tr w:rsidR="00BA2A3D" w:rsidRPr="00020BA5" w14:paraId="792BF315" w14:textId="77777777" w:rsidTr="001412A4">
        <w:tc>
          <w:tcPr>
            <w:tcW w:w="2660" w:type="dxa"/>
          </w:tcPr>
          <w:p w14:paraId="383B3F41" w14:textId="77777777" w:rsidR="00BA2A3D" w:rsidRPr="00020BA5" w:rsidRDefault="00BA2A3D" w:rsidP="001412A4">
            <w:pPr>
              <w:pStyle w:val="Texto"/>
              <w:autoSpaceDE w:val="0"/>
              <w:autoSpaceDN w:val="0"/>
              <w:adjustRightInd w:val="0"/>
              <w:spacing w:after="0" w:line="276" w:lineRule="auto"/>
              <w:ind w:left="0" w:firstLine="0"/>
              <w:jc w:val="center"/>
              <w:rPr>
                <w:rFonts w:ascii="Gotham Rounded Book" w:hAnsi="Gotham Rounded Book"/>
                <w:sz w:val="20"/>
              </w:rPr>
            </w:pPr>
            <w:r w:rsidRPr="00020BA5">
              <w:rPr>
                <w:rFonts w:ascii="Gotham Rounded Book" w:hAnsi="Gotham Rounded Book"/>
                <w:sz w:val="20"/>
              </w:rPr>
              <w:t>Cuenta Contable</w:t>
            </w:r>
          </w:p>
        </w:tc>
        <w:tc>
          <w:tcPr>
            <w:tcW w:w="5245" w:type="dxa"/>
          </w:tcPr>
          <w:p w14:paraId="53F66D57" w14:textId="77777777" w:rsidR="00BA2A3D" w:rsidRPr="00020BA5" w:rsidRDefault="00BA2A3D" w:rsidP="001412A4">
            <w:pPr>
              <w:pStyle w:val="Texto"/>
              <w:autoSpaceDE w:val="0"/>
              <w:autoSpaceDN w:val="0"/>
              <w:adjustRightInd w:val="0"/>
              <w:spacing w:after="0" w:line="276" w:lineRule="auto"/>
              <w:ind w:left="0" w:firstLine="0"/>
              <w:jc w:val="center"/>
              <w:rPr>
                <w:rFonts w:ascii="Gotham Rounded Book" w:hAnsi="Gotham Rounded Book"/>
                <w:sz w:val="20"/>
              </w:rPr>
            </w:pPr>
            <w:r w:rsidRPr="00020BA5">
              <w:rPr>
                <w:rFonts w:ascii="Gotham Rounded Book" w:hAnsi="Gotham Rounded Book"/>
                <w:sz w:val="20"/>
              </w:rPr>
              <w:t>Concepto</w:t>
            </w:r>
          </w:p>
        </w:tc>
        <w:tc>
          <w:tcPr>
            <w:tcW w:w="1874" w:type="dxa"/>
          </w:tcPr>
          <w:p w14:paraId="2FCD7C72" w14:textId="77777777" w:rsidR="00BA2A3D" w:rsidRPr="00020BA5" w:rsidRDefault="00BA2A3D" w:rsidP="001412A4">
            <w:pPr>
              <w:pStyle w:val="Texto"/>
              <w:autoSpaceDE w:val="0"/>
              <w:autoSpaceDN w:val="0"/>
              <w:adjustRightInd w:val="0"/>
              <w:spacing w:after="0" w:line="276" w:lineRule="auto"/>
              <w:ind w:left="0" w:firstLine="0"/>
              <w:jc w:val="center"/>
              <w:rPr>
                <w:rFonts w:ascii="Gotham Rounded Book" w:hAnsi="Gotham Rounded Book"/>
                <w:sz w:val="20"/>
              </w:rPr>
            </w:pPr>
            <w:r w:rsidRPr="00020BA5">
              <w:rPr>
                <w:rFonts w:ascii="Gotham Rounded Book" w:hAnsi="Gotham Rounded Book"/>
                <w:sz w:val="20"/>
              </w:rPr>
              <w:t>Monto en pesos</w:t>
            </w:r>
          </w:p>
        </w:tc>
      </w:tr>
      <w:tr w:rsidR="00BA2A3D" w:rsidRPr="00020BA5" w14:paraId="7BBE4C6E" w14:textId="77777777" w:rsidTr="001412A4">
        <w:tc>
          <w:tcPr>
            <w:tcW w:w="2660" w:type="dxa"/>
          </w:tcPr>
          <w:p w14:paraId="26196C62" w14:textId="677CCFBA" w:rsidR="00BA2A3D" w:rsidRPr="00020BA5" w:rsidRDefault="00020BA5" w:rsidP="001412A4">
            <w:pPr>
              <w:pStyle w:val="Texto"/>
              <w:autoSpaceDE w:val="0"/>
              <w:autoSpaceDN w:val="0"/>
              <w:adjustRightInd w:val="0"/>
              <w:spacing w:after="0" w:line="276" w:lineRule="auto"/>
              <w:ind w:left="0" w:firstLine="0"/>
              <w:rPr>
                <w:rFonts w:ascii="Gotham Rounded Book" w:hAnsi="Gotham Rounded Book"/>
                <w:sz w:val="20"/>
              </w:rPr>
            </w:pPr>
            <w:r w:rsidRPr="00020BA5">
              <w:rPr>
                <w:rFonts w:ascii="Gotham Rounded Book" w:hAnsi="Gotham Rounded Book"/>
                <w:sz w:val="20"/>
              </w:rPr>
              <w:t>Otros ingresos y beneficios varios</w:t>
            </w:r>
          </w:p>
        </w:tc>
        <w:tc>
          <w:tcPr>
            <w:tcW w:w="5245" w:type="dxa"/>
          </w:tcPr>
          <w:p w14:paraId="385FB9E7" w14:textId="70B5B294" w:rsidR="00BA2A3D" w:rsidRPr="00020BA5" w:rsidRDefault="00A73B22" w:rsidP="00A73B22">
            <w:pPr>
              <w:pStyle w:val="Texto"/>
              <w:autoSpaceDE w:val="0"/>
              <w:autoSpaceDN w:val="0"/>
              <w:adjustRightInd w:val="0"/>
              <w:spacing w:after="0" w:line="276" w:lineRule="auto"/>
              <w:ind w:left="0" w:firstLine="0"/>
              <w:rPr>
                <w:rFonts w:ascii="Gotham Rounded Book" w:hAnsi="Gotham Rounded Book"/>
                <w:sz w:val="20"/>
              </w:rPr>
            </w:pPr>
            <w:r w:rsidRPr="00020BA5">
              <w:rPr>
                <w:rFonts w:ascii="Gotham Rounded Book" w:hAnsi="Gotham Rounded Book"/>
                <w:sz w:val="20"/>
              </w:rPr>
              <w:t>Indemnización realizada por Grupo Mexicano de Seguros, S.A. de C.V. referente al pago realizado por el no. de reporte gmxc210002123 siniestro 202120417 derivado de la póliza 01-029-07000124-0000-01</w:t>
            </w:r>
          </w:p>
        </w:tc>
        <w:tc>
          <w:tcPr>
            <w:tcW w:w="1874" w:type="dxa"/>
          </w:tcPr>
          <w:p w14:paraId="4B6BA5A3" w14:textId="099E1EB2" w:rsidR="00BA2A3D" w:rsidRPr="00020BA5" w:rsidRDefault="00A73B22" w:rsidP="001412A4">
            <w:pPr>
              <w:pStyle w:val="Texto"/>
              <w:autoSpaceDE w:val="0"/>
              <w:autoSpaceDN w:val="0"/>
              <w:adjustRightInd w:val="0"/>
              <w:spacing w:after="0" w:line="276" w:lineRule="auto"/>
              <w:ind w:left="0" w:right="207" w:firstLine="0"/>
              <w:jc w:val="right"/>
              <w:rPr>
                <w:rFonts w:ascii="Gotham Rounded Book" w:hAnsi="Gotham Rounded Book"/>
                <w:sz w:val="20"/>
              </w:rPr>
            </w:pPr>
            <w:r w:rsidRPr="00020BA5">
              <w:rPr>
                <w:rFonts w:ascii="Gotham Rounded Book" w:hAnsi="Gotham Rounded Book"/>
                <w:sz w:val="20"/>
              </w:rPr>
              <w:t>26,292.24</w:t>
            </w:r>
          </w:p>
        </w:tc>
      </w:tr>
      <w:tr w:rsidR="00BA2A3D" w:rsidRPr="00020BA5" w14:paraId="6F5F5C46" w14:textId="77777777" w:rsidTr="001412A4">
        <w:tc>
          <w:tcPr>
            <w:tcW w:w="2660" w:type="dxa"/>
          </w:tcPr>
          <w:p w14:paraId="4E871F95" w14:textId="77777777" w:rsidR="00BA2A3D" w:rsidRPr="00020BA5" w:rsidRDefault="00BA2A3D" w:rsidP="001412A4">
            <w:pPr>
              <w:pStyle w:val="Texto"/>
              <w:autoSpaceDE w:val="0"/>
              <w:autoSpaceDN w:val="0"/>
              <w:adjustRightInd w:val="0"/>
              <w:spacing w:after="0" w:line="276" w:lineRule="auto"/>
              <w:ind w:left="0" w:firstLine="0"/>
              <w:rPr>
                <w:rFonts w:ascii="Gotham Rounded Book" w:hAnsi="Gotham Rounded Book"/>
                <w:sz w:val="20"/>
              </w:rPr>
            </w:pPr>
            <w:r w:rsidRPr="00020BA5">
              <w:rPr>
                <w:rFonts w:ascii="Gotham Rounded Book" w:hAnsi="Gotham Rounded Book"/>
                <w:sz w:val="20"/>
              </w:rPr>
              <w:t>Otros ingresos financieros</w:t>
            </w:r>
          </w:p>
        </w:tc>
        <w:tc>
          <w:tcPr>
            <w:tcW w:w="5245" w:type="dxa"/>
          </w:tcPr>
          <w:p w14:paraId="30D36847" w14:textId="2C8AED15" w:rsidR="00BA2A3D" w:rsidRPr="00020BA5" w:rsidRDefault="00BA2A3D" w:rsidP="008D3484">
            <w:pPr>
              <w:pStyle w:val="Texto"/>
              <w:autoSpaceDE w:val="0"/>
              <w:autoSpaceDN w:val="0"/>
              <w:adjustRightInd w:val="0"/>
              <w:spacing w:after="0" w:line="276" w:lineRule="auto"/>
              <w:ind w:left="0" w:firstLine="0"/>
              <w:rPr>
                <w:rFonts w:ascii="Gotham Rounded Book" w:hAnsi="Gotham Rounded Book"/>
                <w:sz w:val="20"/>
              </w:rPr>
            </w:pPr>
            <w:r w:rsidRPr="00020BA5">
              <w:rPr>
                <w:rFonts w:ascii="Gotham Rounded Book" w:hAnsi="Gotham Rounded Book"/>
                <w:sz w:val="20"/>
              </w:rPr>
              <w:t xml:space="preserve">Rendimientos financieros generados en </w:t>
            </w:r>
            <w:r w:rsidR="008D3484" w:rsidRPr="00020BA5">
              <w:rPr>
                <w:rFonts w:ascii="Gotham Rounded Book" w:hAnsi="Gotham Rounded Book"/>
                <w:sz w:val="20"/>
              </w:rPr>
              <w:t>octubre</w:t>
            </w:r>
            <w:r w:rsidRPr="00020BA5">
              <w:rPr>
                <w:rFonts w:ascii="Gotham Rounded Book" w:hAnsi="Gotham Rounded Book"/>
                <w:sz w:val="20"/>
              </w:rPr>
              <w:t xml:space="preserve"> </w:t>
            </w:r>
            <w:r w:rsidR="008D3484" w:rsidRPr="00020BA5">
              <w:rPr>
                <w:rFonts w:ascii="Gotham Rounded Book" w:hAnsi="Gotham Rounded Book"/>
                <w:sz w:val="20"/>
              </w:rPr>
              <w:t>e</w:t>
            </w:r>
            <w:r w:rsidRPr="00020BA5">
              <w:rPr>
                <w:rFonts w:ascii="Gotham Rounded Book" w:hAnsi="Gotham Rounded Book"/>
                <w:sz w:val="20"/>
              </w:rPr>
              <w:t>n la cuenta de inversión número de contrato 2050834165.</w:t>
            </w:r>
          </w:p>
        </w:tc>
        <w:tc>
          <w:tcPr>
            <w:tcW w:w="1874" w:type="dxa"/>
          </w:tcPr>
          <w:p w14:paraId="39543AC5" w14:textId="0BBAD8B6" w:rsidR="00BA2A3D" w:rsidRPr="00020BA5" w:rsidRDefault="008D3484" w:rsidP="001412A4">
            <w:pPr>
              <w:pStyle w:val="Texto"/>
              <w:autoSpaceDE w:val="0"/>
              <w:autoSpaceDN w:val="0"/>
              <w:adjustRightInd w:val="0"/>
              <w:spacing w:after="0" w:line="276" w:lineRule="auto"/>
              <w:ind w:left="0" w:right="207" w:firstLine="0"/>
              <w:jc w:val="right"/>
              <w:rPr>
                <w:rFonts w:ascii="Gotham Rounded Book" w:hAnsi="Gotham Rounded Book"/>
                <w:sz w:val="20"/>
              </w:rPr>
            </w:pPr>
            <w:r w:rsidRPr="00020BA5">
              <w:rPr>
                <w:rFonts w:ascii="Gotham Rounded Book" w:hAnsi="Gotham Rounded Book"/>
                <w:sz w:val="20"/>
              </w:rPr>
              <w:t>61,062.34</w:t>
            </w:r>
          </w:p>
        </w:tc>
      </w:tr>
      <w:tr w:rsidR="00BA2A3D" w:rsidRPr="00020BA5" w14:paraId="4A4B5973" w14:textId="77777777" w:rsidTr="001412A4">
        <w:tc>
          <w:tcPr>
            <w:tcW w:w="7905" w:type="dxa"/>
            <w:gridSpan w:val="2"/>
          </w:tcPr>
          <w:p w14:paraId="3863D8EC" w14:textId="77777777" w:rsidR="00BA2A3D" w:rsidRPr="00020BA5" w:rsidRDefault="00BA2A3D" w:rsidP="001412A4">
            <w:pPr>
              <w:pStyle w:val="Texto"/>
              <w:autoSpaceDE w:val="0"/>
              <w:autoSpaceDN w:val="0"/>
              <w:adjustRightInd w:val="0"/>
              <w:spacing w:after="0" w:line="276" w:lineRule="auto"/>
              <w:ind w:left="0" w:firstLine="0"/>
              <w:jc w:val="center"/>
              <w:rPr>
                <w:rFonts w:ascii="Gotham Rounded Book" w:hAnsi="Gotham Rounded Book"/>
                <w:sz w:val="20"/>
              </w:rPr>
            </w:pPr>
            <w:r w:rsidRPr="00020BA5">
              <w:rPr>
                <w:rFonts w:ascii="Gotham Rounded Book" w:hAnsi="Gotham Rounded Book"/>
                <w:sz w:val="20"/>
              </w:rPr>
              <w:t>Total</w:t>
            </w:r>
          </w:p>
        </w:tc>
        <w:tc>
          <w:tcPr>
            <w:tcW w:w="1874" w:type="dxa"/>
          </w:tcPr>
          <w:p w14:paraId="6985BA5C" w14:textId="2F63BC83" w:rsidR="00BA2A3D" w:rsidRPr="00020BA5" w:rsidRDefault="00E61087" w:rsidP="001412A4">
            <w:pPr>
              <w:pStyle w:val="Texto"/>
              <w:autoSpaceDE w:val="0"/>
              <w:autoSpaceDN w:val="0"/>
              <w:adjustRightInd w:val="0"/>
              <w:spacing w:after="0" w:line="276" w:lineRule="auto"/>
              <w:ind w:left="0" w:right="207" w:firstLine="0"/>
              <w:jc w:val="right"/>
              <w:rPr>
                <w:rFonts w:ascii="Gotham Rounded Book" w:hAnsi="Gotham Rounded Book"/>
                <w:sz w:val="20"/>
              </w:rPr>
            </w:pPr>
            <w:r w:rsidRPr="00020BA5">
              <w:rPr>
                <w:rFonts w:ascii="Gotham Rounded Book" w:hAnsi="Gotham Rounded Book"/>
                <w:sz w:val="20"/>
              </w:rPr>
              <w:t>87,354.58</w:t>
            </w:r>
          </w:p>
        </w:tc>
      </w:tr>
    </w:tbl>
    <w:p w14:paraId="37D22EC0" w14:textId="77777777" w:rsidR="00020BA5" w:rsidRDefault="00020BA5" w:rsidP="00735F7E">
      <w:pPr>
        <w:pStyle w:val="Textoindependiente22"/>
        <w:rPr>
          <w:rFonts w:ascii="Gotham Rounded Book" w:eastAsia="Calibri" w:hAnsi="Gotham Rounded Book"/>
          <w:sz w:val="22"/>
          <w:szCs w:val="22"/>
          <w:lang w:val="es-MX" w:eastAsia="en-US"/>
        </w:rPr>
      </w:pPr>
    </w:p>
    <w:p w14:paraId="6B8B6C17" w14:textId="7E687973" w:rsidR="001E6526" w:rsidRDefault="00FB7253" w:rsidP="00735F7E">
      <w:pPr>
        <w:pStyle w:val="Textoindependiente22"/>
        <w:rPr>
          <w:rFonts w:ascii="Gotham Rounded Book" w:eastAsia="Calibri" w:hAnsi="Gotham Rounded Book"/>
          <w:sz w:val="22"/>
          <w:szCs w:val="22"/>
          <w:lang w:val="es-MX" w:eastAsia="en-US"/>
        </w:rPr>
      </w:pPr>
      <w:r>
        <w:rPr>
          <w:rFonts w:ascii="Gotham Rounded Book" w:eastAsia="Calibri" w:hAnsi="Gotham Rounded Book"/>
          <w:sz w:val="22"/>
          <w:szCs w:val="22"/>
          <w:lang w:val="es-MX" w:eastAsia="en-US"/>
        </w:rPr>
        <w:t>El incremento de l</w:t>
      </w:r>
      <w:r w:rsidR="00FA5F74">
        <w:rPr>
          <w:rFonts w:ascii="Gotham Rounded Book" w:eastAsia="Calibri" w:hAnsi="Gotham Rounded Book"/>
          <w:sz w:val="22"/>
          <w:szCs w:val="22"/>
          <w:lang w:val="es-MX" w:eastAsia="en-US"/>
        </w:rPr>
        <w:t>os ingresos presupuestales autorizados por el Pleno se encuentran reportados en el Estado Analítico de Ingresos Presupuestarios en el rubro de Ingresos por Venta de Bienes y Servicios.</w:t>
      </w:r>
    </w:p>
    <w:p w14:paraId="5EBEAB69" w14:textId="77777777" w:rsidR="001E6526" w:rsidRDefault="001E6526" w:rsidP="00735F7E">
      <w:pPr>
        <w:pStyle w:val="Textoindependiente22"/>
        <w:rPr>
          <w:rFonts w:ascii="Gotham Rounded Book" w:eastAsia="Calibri" w:hAnsi="Gotham Rounded Book"/>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06F57E72" w:rsidR="00735F7E" w:rsidRDefault="00735F7E" w:rsidP="00735F7E">
      <w:pPr>
        <w:spacing w:after="0" w:line="240" w:lineRule="auto"/>
        <w:ind w:left="0" w:firstLine="0"/>
        <w:rPr>
          <w:rFonts w:ascii="Gotham Rounded Book" w:hAnsi="Gotham Rounded Book"/>
        </w:rPr>
      </w:pPr>
      <w:r w:rsidRPr="000E14E1">
        <w:rPr>
          <w:rFonts w:ascii="Gotham Rounded Book" w:hAnsi="Gotham Rounded Book"/>
        </w:rPr>
        <w:t>Los estados financieros y sus notas fueron autorizados para su emisión el</w:t>
      </w:r>
      <w:r w:rsidR="00DA4E45" w:rsidRPr="000E14E1">
        <w:rPr>
          <w:rFonts w:ascii="Gotham Rounded Book" w:hAnsi="Gotham Rounded Book"/>
        </w:rPr>
        <w:t xml:space="preserve"> </w:t>
      </w:r>
      <w:r w:rsidR="00AF73A2">
        <w:rPr>
          <w:rFonts w:ascii="Gotham Rounded Book" w:hAnsi="Gotham Rounded Book"/>
        </w:rPr>
        <w:t>4</w:t>
      </w:r>
      <w:r w:rsidR="009518F8">
        <w:rPr>
          <w:rFonts w:ascii="Gotham Rounded Book" w:hAnsi="Gotham Rounded Book"/>
        </w:rPr>
        <w:t xml:space="preserve"> d</w:t>
      </w:r>
      <w:r w:rsidR="000048B7" w:rsidRPr="000E14E1">
        <w:rPr>
          <w:rFonts w:ascii="Gotham Rounded Book" w:hAnsi="Gotham Rounded Book"/>
        </w:rPr>
        <w:t xml:space="preserve">e </w:t>
      </w:r>
      <w:r w:rsidR="00AF73A2">
        <w:rPr>
          <w:rFonts w:ascii="Gotham Rounded Book" w:hAnsi="Gotham Rounded Book"/>
        </w:rPr>
        <w:t xml:space="preserve">enero </w:t>
      </w:r>
      <w:r w:rsidR="00F74368" w:rsidRPr="000E14E1">
        <w:rPr>
          <w:rFonts w:ascii="Gotham Rounded Book" w:hAnsi="Gotham Rounded Book"/>
        </w:rPr>
        <w:t xml:space="preserve">de </w:t>
      </w:r>
      <w:r w:rsidRPr="000E14E1">
        <w:rPr>
          <w:rFonts w:ascii="Gotham Rounded Book" w:hAnsi="Gotham Rounded Book"/>
        </w:rPr>
        <w:t>20</w:t>
      </w:r>
      <w:r w:rsidR="00DA4E45" w:rsidRPr="000E14E1">
        <w:rPr>
          <w:rFonts w:ascii="Gotham Rounded Book" w:hAnsi="Gotham Rounded Book"/>
        </w:rPr>
        <w:t>2</w:t>
      </w:r>
      <w:r w:rsidR="00AF73A2">
        <w:rPr>
          <w:rFonts w:ascii="Gotham Rounded Book" w:hAnsi="Gotham Rounded Book"/>
        </w:rPr>
        <w:t>2</w:t>
      </w:r>
      <w:r w:rsidRPr="00810207">
        <w:rPr>
          <w:rFonts w:ascii="Gotham Rounded Book" w:hAnsi="Gotham Rounded Book"/>
        </w:rPr>
        <w:t xml:space="preserve"> por</w:t>
      </w:r>
      <w:r w:rsidRPr="00484D6D">
        <w:rPr>
          <w:rFonts w:ascii="Gotham Rounded Book" w:hAnsi="Gotham Rounded Book"/>
        </w:rPr>
        <w:t xml:space="preserve"> los funcionarios del Instituto de </w:t>
      </w:r>
      <w:r w:rsidR="00E37592" w:rsidRPr="00484D6D">
        <w:rPr>
          <w:rFonts w:ascii="Gotham Rounded Book" w:hAnsi="Gotham Rounded Book"/>
        </w:rPr>
        <w:t xml:space="preserve">Transparencia, </w:t>
      </w:r>
      <w:r w:rsidRPr="00484D6D">
        <w:rPr>
          <w:rFonts w:ascii="Gotham Rounded Book" w:hAnsi="Gotham Rounded Book"/>
        </w:rPr>
        <w:t>Acceso a la Información Pública</w:t>
      </w:r>
      <w:r w:rsidR="00E37592" w:rsidRPr="00484D6D">
        <w:rPr>
          <w:rFonts w:ascii="Gotham Rounded Book" w:hAnsi="Gotham Rounded Book"/>
        </w:rPr>
        <w:t>,</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bookmarkStart w:id="1" w:name="_GoBack"/>
      <w:bookmarkEnd w:id="1"/>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354DAB9E" w:rsidR="00735F7E" w:rsidRPr="002F2AF3" w:rsidRDefault="00735F7E" w:rsidP="00AF73A2">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AF73A2">
              <w:rPr>
                <w:rFonts w:ascii="Arial Narrow" w:hAnsi="Arial Narrow"/>
                <w:sz w:val="20"/>
                <w:szCs w:val="20"/>
              </w:rPr>
              <w:t>LIC. ANDRÉS ISRAEL RODRÍGUEZ RAMIREZ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46083328"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29A50393"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SECRETARIO EJECUTIVO</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D10B9" w14:textId="77777777" w:rsidR="00051541" w:rsidRDefault="00051541" w:rsidP="00193049">
      <w:pPr>
        <w:spacing w:after="0" w:line="240" w:lineRule="auto"/>
      </w:pPr>
      <w:r>
        <w:separator/>
      </w:r>
    </w:p>
  </w:endnote>
  <w:endnote w:type="continuationSeparator" w:id="0">
    <w:p w14:paraId="209B6B89" w14:textId="77777777" w:rsidR="00051541" w:rsidRDefault="00051541"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MS Gothic"/>
    <w:panose1 w:val="02020609040205080304"/>
    <w:charset w:val="80"/>
    <w:family w:val="roman"/>
    <w:notTrueType/>
    <w:pitch w:val="fixed"/>
    <w:sig w:usb0="00000000"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1412A4" w:rsidRDefault="001412A4">
        <w:pPr>
          <w:pStyle w:val="Piedepgina"/>
          <w:pBdr>
            <w:top w:val="single" w:sz="4" w:space="1" w:color="D9D9D9" w:themeColor="background1" w:themeShade="D9"/>
          </w:pBdr>
          <w:jc w:val="right"/>
        </w:pPr>
        <w:r>
          <w:fldChar w:fldCharType="begin"/>
        </w:r>
        <w:r>
          <w:instrText>PAGE   \* MERGEFORMAT</w:instrText>
        </w:r>
        <w:r>
          <w:fldChar w:fldCharType="separate"/>
        </w:r>
        <w:r w:rsidR="00BF3CAB" w:rsidRPr="00BF3CAB">
          <w:rPr>
            <w:noProof/>
            <w:lang w:val="es-ES"/>
          </w:rPr>
          <w:t>19</w:t>
        </w:r>
        <w:r>
          <w:fldChar w:fldCharType="end"/>
        </w:r>
        <w:r>
          <w:rPr>
            <w:lang w:val="es-ES"/>
          </w:rPr>
          <w:t xml:space="preserve"> | </w:t>
        </w:r>
        <w:r>
          <w:rPr>
            <w:color w:val="7F7F7F" w:themeColor="background1" w:themeShade="7F"/>
            <w:spacing w:val="60"/>
            <w:lang w:val="es-ES"/>
          </w:rPr>
          <w:t>Página</w:t>
        </w:r>
      </w:p>
    </w:sdtContent>
  </w:sdt>
  <w:p w14:paraId="7BC210FB" w14:textId="77777777" w:rsidR="001412A4" w:rsidRDefault="001412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1412A4" w:rsidRDefault="001412A4">
    <w:pPr>
      <w:pStyle w:val="Piedepgina"/>
    </w:pPr>
  </w:p>
  <w:p w14:paraId="7AAD7220" w14:textId="77777777" w:rsidR="001412A4" w:rsidRDefault="001412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89B65" w14:textId="77777777" w:rsidR="00051541" w:rsidRDefault="00051541" w:rsidP="00193049">
      <w:pPr>
        <w:spacing w:after="0" w:line="240" w:lineRule="auto"/>
      </w:pPr>
      <w:r>
        <w:separator/>
      </w:r>
    </w:p>
  </w:footnote>
  <w:footnote w:type="continuationSeparator" w:id="0">
    <w:p w14:paraId="20C8DDCB" w14:textId="77777777" w:rsidR="00051541" w:rsidRDefault="00051541"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1412A4" w:rsidRDefault="001412A4">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0212"/>
    <w:rsid w:val="00000265"/>
    <w:rsid w:val="0000174D"/>
    <w:rsid w:val="00001840"/>
    <w:rsid w:val="0000342C"/>
    <w:rsid w:val="000047E3"/>
    <w:rsid w:val="000048B7"/>
    <w:rsid w:val="00005246"/>
    <w:rsid w:val="00005779"/>
    <w:rsid w:val="000061AB"/>
    <w:rsid w:val="00006524"/>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178AB"/>
    <w:rsid w:val="000204BA"/>
    <w:rsid w:val="00020BA5"/>
    <w:rsid w:val="00021060"/>
    <w:rsid w:val="00021848"/>
    <w:rsid w:val="00021CA5"/>
    <w:rsid w:val="00021E5D"/>
    <w:rsid w:val="000224B5"/>
    <w:rsid w:val="000234F0"/>
    <w:rsid w:val="0002363C"/>
    <w:rsid w:val="00024766"/>
    <w:rsid w:val="00024B56"/>
    <w:rsid w:val="00026647"/>
    <w:rsid w:val="0003036F"/>
    <w:rsid w:val="00031E5B"/>
    <w:rsid w:val="00032FD7"/>
    <w:rsid w:val="00033E2B"/>
    <w:rsid w:val="00034508"/>
    <w:rsid w:val="00034672"/>
    <w:rsid w:val="000347FB"/>
    <w:rsid w:val="00036656"/>
    <w:rsid w:val="00037359"/>
    <w:rsid w:val="00037503"/>
    <w:rsid w:val="00037933"/>
    <w:rsid w:val="00037F12"/>
    <w:rsid w:val="00040716"/>
    <w:rsid w:val="000426AF"/>
    <w:rsid w:val="000433D9"/>
    <w:rsid w:val="000433EE"/>
    <w:rsid w:val="0004374B"/>
    <w:rsid w:val="00044624"/>
    <w:rsid w:val="00045070"/>
    <w:rsid w:val="00045C72"/>
    <w:rsid w:val="00047159"/>
    <w:rsid w:val="00047375"/>
    <w:rsid w:val="00050828"/>
    <w:rsid w:val="00050FBE"/>
    <w:rsid w:val="00051541"/>
    <w:rsid w:val="000519B0"/>
    <w:rsid w:val="000522EE"/>
    <w:rsid w:val="00052570"/>
    <w:rsid w:val="00052B8D"/>
    <w:rsid w:val="0005347D"/>
    <w:rsid w:val="0005352D"/>
    <w:rsid w:val="00053EB8"/>
    <w:rsid w:val="0005484E"/>
    <w:rsid w:val="00056034"/>
    <w:rsid w:val="00056316"/>
    <w:rsid w:val="000617ED"/>
    <w:rsid w:val="000618B0"/>
    <w:rsid w:val="000618B5"/>
    <w:rsid w:val="00063DDE"/>
    <w:rsid w:val="00064777"/>
    <w:rsid w:val="00064C5E"/>
    <w:rsid w:val="000653E3"/>
    <w:rsid w:val="0007004C"/>
    <w:rsid w:val="00073577"/>
    <w:rsid w:val="000736D9"/>
    <w:rsid w:val="00073A8A"/>
    <w:rsid w:val="0007440C"/>
    <w:rsid w:val="00074CE9"/>
    <w:rsid w:val="00076389"/>
    <w:rsid w:val="000769AC"/>
    <w:rsid w:val="00076BDB"/>
    <w:rsid w:val="00077974"/>
    <w:rsid w:val="00077D33"/>
    <w:rsid w:val="00080253"/>
    <w:rsid w:val="00080E28"/>
    <w:rsid w:val="00082F17"/>
    <w:rsid w:val="000843E0"/>
    <w:rsid w:val="0008440A"/>
    <w:rsid w:val="00085192"/>
    <w:rsid w:val="00085330"/>
    <w:rsid w:val="0008577F"/>
    <w:rsid w:val="0008625F"/>
    <w:rsid w:val="0008766B"/>
    <w:rsid w:val="00087919"/>
    <w:rsid w:val="000904AB"/>
    <w:rsid w:val="00092040"/>
    <w:rsid w:val="0009288A"/>
    <w:rsid w:val="00093ABE"/>
    <w:rsid w:val="00094EB7"/>
    <w:rsid w:val="00095955"/>
    <w:rsid w:val="00095F73"/>
    <w:rsid w:val="00096EDF"/>
    <w:rsid w:val="000A0FF9"/>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F8C"/>
    <w:rsid w:val="000D210B"/>
    <w:rsid w:val="000D2890"/>
    <w:rsid w:val="000D30B2"/>
    <w:rsid w:val="000D30DB"/>
    <w:rsid w:val="000D3B4B"/>
    <w:rsid w:val="000D446E"/>
    <w:rsid w:val="000D4E22"/>
    <w:rsid w:val="000D5522"/>
    <w:rsid w:val="000D5BBE"/>
    <w:rsid w:val="000D6A51"/>
    <w:rsid w:val="000D7012"/>
    <w:rsid w:val="000E0930"/>
    <w:rsid w:val="000E14E1"/>
    <w:rsid w:val="000E1697"/>
    <w:rsid w:val="000E16D7"/>
    <w:rsid w:val="000E1EBA"/>
    <w:rsid w:val="000E3FF5"/>
    <w:rsid w:val="000E4388"/>
    <w:rsid w:val="000E4C49"/>
    <w:rsid w:val="000E55E3"/>
    <w:rsid w:val="000E6DEC"/>
    <w:rsid w:val="000F047B"/>
    <w:rsid w:val="000F1187"/>
    <w:rsid w:val="000F11EE"/>
    <w:rsid w:val="000F14A0"/>
    <w:rsid w:val="000F180C"/>
    <w:rsid w:val="000F1F7C"/>
    <w:rsid w:val="000F244F"/>
    <w:rsid w:val="000F2B65"/>
    <w:rsid w:val="000F36AA"/>
    <w:rsid w:val="000F42D2"/>
    <w:rsid w:val="000F520B"/>
    <w:rsid w:val="000F531D"/>
    <w:rsid w:val="000F626E"/>
    <w:rsid w:val="000F660C"/>
    <w:rsid w:val="00100CC3"/>
    <w:rsid w:val="00101E7F"/>
    <w:rsid w:val="00102057"/>
    <w:rsid w:val="001022A1"/>
    <w:rsid w:val="001027AB"/>
    <w:rsid w:val="00102E65"/>
    <w:rsid w:val="00105266"/>
    <w:rsid w:val="001052B7"/>
    <w:rsid w:val="001057F9"/>
    <w:rsid w:val="0010620C"/>
    <w:rsid w:val="00106444"/>
    <w:rsid w:val="001064BE"/>
    <w:rsid w:val="00107D24"/>
    <w:rsid w:val="00111852"/>
    <w:rsid w:val="00111A2D"/>
    <w:rsid w:val="00113E02"/>
    <w:rsid w:val="00113EF2"/>
    <w:rsid w:val="00114631"/>
    <w:rsid w:val="001155F1"/>
    <w:rsid w:val="001159F9"/>
    <w:rsid w:val="00116182"/>
    <w:rsid w:val="00121AAB"/>
    <w:rsid w:val="001228C9"/>
    <w:rsid w:val="00122B23"/>
    <w:rsid w:val="001232A4"/>
    <w:rsid w:val="001233CF"/>
    <w:rsid w:val="001237A6"/>
    <w:rsid w:val="00124235"/>
    <w:rsid w:val="00124277"/>
    <w:rsid w:val="00124773"/>
    <w:rsid w:val="001251CB"/>
    <w:rsid w:val="00125823"/>
    <w:rsid w:val="0012595D"/>
    <w:rsid w:val="00125AB6"/>
    <w:rsid w:val="0012680A"/>
    <w:rsid w:val="00127D4B"/>
    <w:rsid w:val="00130664"/>
    <w:rsid w:val="001322FF"/>
    <w:rsid w:val="00133D97"/>
    <w:rsid w:val="00133FE6"/>
    <w:rsid w:val="00134E4B"/>
    <w:rsid w:val="001355DF"/>
    <w:rsid w:val="00135D60"/>
    <w:rsid w:val="00137352"/>
    <w:rsid w:val="001379EC"/>
    <w:rsid w:val="0014096F"/>
    <w:rsid w:val="00140AB8"/>
    <w:rsid w:val="001412A4"/>
    <w:rsid w:val="001415F3"/>
    <w:rsid w:val="00142012"/>
    <w:rsid w:val="0014358E"/>
    <w:rsid w:val="00143902"/>
    <w:rsid w:val="00143B8C"/>
    <w:rsid w:val="001444D3"/>
    <w:rsid w:val="00144575"/>
    <w:rsid w:val="00145655"/>
    <w:rsid w:val="00146A6F"/>
    <w:rsid w:val="00146C64"/>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3147"/>
    <w:rsid w:val="001852FE"/>
    <w:rsid w:val="00185461"/>
    <w:rsid w:val="001854F1"/>
    <w:rsid w:val="0018652F"/>
    <w:rsid w:val="001907E6"/>
    <w:rsid w:val="00190842"/>
    <w:rsid w:val="001908B7"/>
    <w:rsid w:val="001908CD"/>
    <w:rsid w:val="00190D6C"/>
    <w:rsid w:val="00191262"/>
    <w:rsid w:val="001917AB"/>
    <w:rsid w:val="001919C8"/>
    <w:rsid w:val="00191ECF"/>
    <w:rsid w:val="00192AC9"/>
    <w:rsid w:val="00193049"/>
    <w:rsid w:val="00193628"/>
    <w:rsid w:val="001958EE"/>
    <w:rsid w:val="00196151"/>
    <w:rsid w:val="0019712D"/>
    <w:rsid w:val="00197F8C"/>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B98"/>
    <w:rsid w:val="001B1174"/>
    <w:rsid w:val="001B1F55"/>
    <w:rsid w:val="001B216B"/>
    <w:rsid w:val="001B2FBE"/>
    <w:rsid w:val="001B4882"/>
    <w:rsid w:val="001B538D"/>
    <w:rsid w:val="001B560C"/>
    <w:rsid w:val="001B5A79"/>
    <w:rsid w:val="001B5B4B"/>
    <w:rsid w:val="001B5F95"/>
    <w:rsid w:val="001B667C"/>
    <w:rsid w:val="001B6F93"/>
    <w:rsid w:val="001B7C57"/>
    <w:rsid w:val="001B7CFC"/>
    <w:rsid w:val="001B7D58"/>
    <w:rsid w:val="001C10AE"/>
    <w:rsid w:val="001C10DF"/>
    <w:rsid w:val="001C167F"/>
    <w:rsid w:val="001C3604"/>
    <w:rsid w:val="001C7FD1"/>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B6D"/>
    <w:rsid w:val="001E5FE8"/>
    <w:rsid w:val="001E62DA"/>
    <w:rsid w:val="001E638A"/>
    <w:rsid w:val="001E6526"/>
    <w:rsid w:val="001E6C0C"/>
    <w:rsid w:val="001E73BA"/>
    <w:rsid w:val="001F37D3"/>
    <w:rsid w:val="001F5F0F"/>
    <w:rsid w:val="00202219"/>
    <w:rsid w:val="002028EC"/>
    <w:rsid w:val="00202F09"/>
    <w:rsid w:val="00203630"/>
    <w:rsid w:val="002039A6"/>
    <w:rsid w:val="00203B0D"/>
    <w:rsid w:val="00203EB4"/>
    <w:rsid w:val="0020446C"/>
    <w:rsid w:val="00204985"/>
    <w:rsid w:val="00204BEA"/>
    <w:rsid w:val="00204EB3"/>
    <w:rsid w:val="00205DAD"/>
    <w:rsid w:val="00206010"/>
    <w:rsid w:val="00206740"/>
    <w:rsid w:val="002073EC"/>
    <w:rsid w:val="0021023C"/>
    <w:rsid w:val="00210343"/>
    <w:rsid w:val="0021058D"/>
    <w:rsid w:val="00210B47"/>
    <w:rsid w:val="002119F7"/>
    <w:rsid w:val="00211AEB"/>
    <w:rsid w:val="0021330F"/>
    <w:rsid w:val="00213E97"/>
    <w:rsid w:val="00213FE5"/>
    <w:rsid w:val="0021518D"/>
    <w:rsid w:val="002157C0"/>
    <w:rsid w:val="002169D6"/>
    <w:rsid w:val="00216A41"/>
    <w:rsid w:val="002172C0"/>
    <w:rsid w:val="002207BC"/>
    <w:rsid w:val="002210A0"/>
    <w:rsid w:val="0022128C"/>
    <w:rsid w:val="00222636"/>
    <w:rsid w:val="0022359D"/>
    <w:rsid w:val="00223BA1"/>
    <w:rsid w:val="00223CE3"/>
    <w:rsid w:val="00224363"/>
    <w:rsid w:val="002250F4"/>
    <w:rsid w:val="00225317"/>
    <w:rsid w:val="0022651E"/>
    <w:rsid w:val="002273F2"/>
    <w:rsid w:val="00227BE3"/>
    <w:rsid w:val="00231427"/>
    <w:rsid w:val="002316FA"/>
    <w:rsid w:val="0023197D"/>
    <w:rsid w:val="00232515"/>
    <w:rsid w:val="00233DB2"/>
    <w:rsid w:val="00234268"/>
    <w:rsid w:val="00235456"/>
    <w:rsid w:val="002358E3"/>
    <w:rsid w:val="00236A76"/>
    <w:rsid w:val="00236E13"/>
    <w:rsid w:val="0023741D"/>
    <w:rsid w:val="002378FB"/>
    <w:rsid w:val="00240365"/>
    <w:rsid w:val="002411CA"/>
    <w:rsid w:val="0024143F"/>
    <w:rsid w:val="00241855"/>
    <w:rsid w:val="002435DD"/>
    <w:rsid w:val="00243783"/>
    <w:rsid w:val="00243C4D"/>
    <w:rsid w:val="0024462B"/>
    <w:rsid w:val="00244A1D"/>
    <w:rsid w:val="00245854"/>
    <w:rsid w:val="00247DAA"/>
    <w:rsid w:val="00250075"/>
    <w:rsid w:val="002508C8"/>
    <w:rsid w:val="00250E19"/>
    <w:rsid w:val="00251821"/>
    <w:rsid w:val="00251ACA"/>
    <w:rsid w:val="00252368"/>
    <w:rsid w:val="00253C19"/>
    <w:rsid w:val="002540B1"/>
    <w:rsid w:val="0025490C"/>
    <w:rsid w:val="00254975"/>
    <w:rsid w:val="002553B4"/>
    <w:rsid w:val="00255B4A"/>
    <w:rsid w:val="00256A7D"/>
    <w:rsid w:val="002570F8"/>
    <w:rsid w:val="00257136"/>
    <w:rsid w:val="00257F50"/>
    <w:rsid w:val="00261550"/>
    <w:rsid w:val="00261659"/>
    <w:rsid w:val="00262DEB"/>
    <w:rsid w:val="00263418"/>
    <w:rsid w:val="00265222"/>
    <w:rsid w:val="0026527E"/>
    <w:rsid w:val="00266B1A"/>
    <w:rsid w:val="00266E3C"/>
    <w:rsid w:val="00270405"/>
    <w:rsid w:val="00270612"/>
    <w:rsid w:val="002707C3"/>
    <w:rsid w:val="002716E2"/>
    <w:rsid w:val="00272149"/>
    <w:rsid w:val="00274416"/>
    <w:rsid w:val="002776AE"/>
    <w:rsid w:val="00280191"/>
    <w:rsid w:val="00280904"/>
    <w:rsid w:val="00280B5E"/>
    <w:rsid w:val="002810AF"/>
    <w:rsid w:val="002816EE"/>
    <w:rsid w:val="00283DBC"/>
    <w:rsid w:val="00283F15"/>
    <w:rsid w:val="002865A2"/>
    <w:rsid w:val="00287369"/>
    <w:rsid w:val="002876CD"/>
    <w:rsid w:val="00287CE5"/>
    <w:rsid w:val="0029208B"/>
    <w:rsid w:val="00292222"/>
    <w:rsid w:val="002925A5"/>
    <w:rsid w:val="00292F17"/>
    <w:rsid w:val="002944FA"/>
    <w:rsid w:val="00295A5D"/>
    <w:rsid w:val="00296074"/>
    <w:rsid w:val="002970A6"/>
    <w:rsid w:val="0029778E"/>
    <w:rsid w:val="002A00D5"/>
    <w:rsid w:val="002A03AC"/>
    <w:rsid w:val="002A03B2"/>
    <w:rsid w:val="002A12FC"/>
    <w:rsid w:val="002A24AC"/>
    <w:rsid w:val="002A283C"/>
    <w:rsid w:val="002A33D5"/>
    <w:rsid w:val="002A37AE"/>
    <w:rsid w:val="002A50D8"/>
    <w:rsid w:val="002A5168"/>
    <w:rsid w:val="002A52EC"/>
    <w:rsid w:val="002A78E1"/>
    <w:rsid w:val="002B0748"/>
    <w:rsid w:val="002B0805"/>
    <w:rsid w:val="002B0F43"/>
    <w:rsid w:val="002B14D0"/>
    <w:rsid w:val="002B21EB"/>
    <w:rsid w:val="002B3EEF"/>
    <w:rsid w:val="002B483E"/>
    <w:rsid w:val="002B5BAB"/>
    <w:rsid w:val="002B6286"/>
    <w:rsid w:val="002B6344"/>
    <w:rsid w:val="002B6923"/>
    <w:rsid w:val="002B6A24"/>
    <w:rsid w:val="002B74BE"/>
    <w:rsid w:val="002C019E"/>
    <w:rsid w:val="002C1587"/>
    <w:rsid w:val="002C1AEA"/>
    <w:rsid w:val="002C23D1"/>
    <w:rsid w:val="002C3BB4"/>
    <w:rsid w:val="002C71DC"/>
    <w:rsid w:val="002C7ED2"/>
    <w:rsid w:val="002D0411"/>
    <w:rsid w:val="002D066C"/>
    <w:rsid w:val="002D0E37"/>
    <w:rsid w:val="002D2E4D"/>
    <w:rsid w:val="002D34E1"/>
    <w:rsid w:val="002D36AE"/>
    <w:rsid w:val="002D3CB1"/>
    <w:rsid w:val="002D50E2"/>
    <w:rsid w:val="002D581E"/>
    <w:rsid w:val="002D5E42"/>
    <w:rsid w:val="002D5EC9"/>
    <w:rsid w:val="002D5EF9"/>
    <w:rsid w:val="002D70F0"/>
    <w:rsid w:val="002E0CFA"/>
    <w:rsid w:val="002E2A18"/>
    <w:rsid w:val="002E3389"/>
    <w:rsid w:val="002E3DAF"/>
    <w:rsid w:val="002E4B9D"/>
    <w:rsid w:val="002E603E"/>
    <w:rsid w:val="002E7B08"/>
    <w:rsid w:val="002F0537"/>
    <w:rsid w:val="002F063B"/>
    <w:rsid w:val="002F23FB"/>
    <w:rsid w:val="002F2AF3"/>
    <w:rsid w:val="002F2BB6"/>
    <w:rsid w:val="002F41BC"/>
    <w:rsid w:val="002F427D"/>
    <w:rsid w:val="002F4B9E"/>
    <w:rsid w:val="002F698F"/>
    <w:rsid w:val="002F6AD6"/>
    <w:rsid w:val="00300008"/>
    <w:rsid w:val="00301BDA"/>
    <w:rsid w:val="00301E89"/>
    <w:rsid w:val="00302AE1"/>
    <w:rsid w:val="00302C9F"/>
    <w:rsid w:val="00302EB1"/>
    <w:rsid w:val="00303069"/>
    <w:rsid w:val="00303A9E"/>
    <w:rsid w:val="00303EB1"/>
    <w:rsid w:val="00305056"/>
    <w:rsid w:val="00305EE2"/>
    <w:rsid w:val="003064D8"/>
    <w:rsid w:val="003065B2"/>
    <w:rsid w:val="00310777"/>
    <w:rsid w:val="00310A01"/>
    <w:rsid w:val="00310BAB"/>
    <w:rsid w:val="0031108C"/>
    <w:rsid w:val="00311337"/>
    <w:rsid w:val="0031356C"/>
    <w:rsid w:val="00314AA7"/>
    <w:rsid w:val="00314B7D"/>
    <w:rsid w:val="00314E5D"/>
    <w:rsid w:val="0031529A"/>
    <w:rsid w:val="00315B50"/>
    <w:rsid w:val="003165E3"/>
    <w:rsid w:val="003166C4"/>
    <w:rsid w:val="003169DE"/>
    <w:rsid w:val="003202F5"/>
    <w:rsid w:val="00320B9B"/>
    <w:rsid w:val="00320E89"/>
    <w:rsid w:val="00321061"/>
    <w:rsid w:val="00321665"/>
    <w:rsid w:val="00321ED4"/>
    <w:rsid w:val="00322645"/>
    <w:rsid w:val="003226FB"/>
    <w:rsid w:val="003227F3"/>
    <w:rsid w:val="00322CBD"/>
    <w:rsid w:val="00323F9E"/>
    <w:rsid w:val="00325505"/>
    <w:rsid w:val="00325E53"/>
    <w:rsid w:val="00326021"/>
    <w:rsid w:val="00326DAB"/>
    <w:rsid w:val="0032721B"/>
    <w:rsid w:val="00331433"/>
    <w:rsid w:val="00331659"/>
    <w:rsid w:val="00331A42"/>
    <w:rsid w:val="003322AB"/>
    <w:rsid w:val="0033405B"/>
    <w:rsid w:val="00334867"/>
    <w:rsid w:val="00334FE0"/>
    <w:rsid w:val="00335705"/>
    <w:rsid w:val="003359D1"/>
    <w:rsid w:val="003369BF"/>
    <w:rsid w:val="00336C34"/>
    <w:rsid w:val="00336EDC"/>
    <w:rsid w:val="00341509"/>
    <w:rsid w:val="003423A3"/>
    <w:rsid w:val="0034283E"/>
    <w:rsid w:val="00342929"/>
    <w:rsid w:val="00343239"/>
    <w:rsid w:val="0034363E"/>
    <w:rsid w:val="00345068"/>
    <w:rsid w:val="003462FC"/>
    <w:rsid w:val="00346485"/>
    <w:rsid w:val="00347D0B"/>
    <w:rsid w:val="00347F65"/>
    <w:rsid w:val="0035058A"/>
    <w:rsid w:val="00350EB0"/>
    <w:rsid w:val="00350ED7"/>
    <w:rsid w:val="00350F32"/>
    <w:rsid w:val="00351A89"/>
    <w:rsid w:val="0035318B"/>
    <w:rsid w:val="003531E2"/>
    <w:rsid w:val="003539E5"/>
    <w:rsid w:val="00353AA6"/>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59EC"/>
    <w:rsid w:val="0036640A"/>
    <w:rsid w:val="0036667E"/>
    <w:rsid w:val="0036678D"/>
    <w:rsid w:val="00366B0C"/>
    <w:rsid w:val="00366B1C"/>
    <w:rsid w:val="003676CD"/>
    <w:rsid w:val="003702CC"/>
    <w:rsid w:val="003703C8"/>
    <w:rsid w:val="00371162"/>
    <w:rsid w:val="00372E35"/>
    <w:rsid w:val="00373838"/>
    <w:rsid w:val="00374682"/>
    <w:rsid w:val="0037638D"/>
    <w:rsid w:val="003775D9"/>
    <w:rsid w:val="00377F70"/>
    <w:rsid w:val="00380589"/>
    <w:rsid w:val="00380D89"/>
    <w:rsid w:val="003825BA"/>
    <w:rsid w:val="00382A21"/>
    <w:rsid w:val="003832AD"/>
    <w:rsid w:val="00384189"/>
    <w:rsid w:val="0038519A"/>
    <w:rsid w:val="00385D73"/>
    <w:rsid w:val="0038613F"/>
    <w:rsid w:val="00387179"/>
    <w:rsid w:val="00387909"/>
    <w:rsid w:val="00387D37"/>
    <w:rsid w:val="00390E75"/>
    <w:rsid w:val="0039134B"/>
    <w:rsid w:val="0039154A"/>
    <w:rsid w:val="00393080"/>
    <w:rsid w:val="00393C0B"/>
    <w:rsid w:val="00393E72"/>
    <w:rsid w:val="00394144"/>
    <w:rsid w:val="00394B6B"/>
    <w:rsid w:val="00396A6A"/>
    <w:rsid w:val="00397703"/>
    <w:rsid w:val="003A002C"/>
    <w:rsid w:val="003A28B7"/>
    <w:rsid w:val="003A3374"/>
    <w:rsid w:val="003A38B7"/>
    <w:rsid w:val="003A38CA"/>
    <w:rsid w:val="003A3B2F"/>
    <w:rsid w:val="003A4544"/>
    <w:rsid w:val="003A6EDD"/>
    <w:rsid w:val="003A7064"/>
    <w:rsid w:val="003A7CC6"/>
    <w:rsid w:val="003A7DAC"/>
    <w:rsid w:val="003B095E"/>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EBC"/>
    <w:rsid w:val="003C2EF1"/>
    <w:rsid w:val="003C3129"/>
    <w:rsid w:val="003C347C"/>
    <w:rsid w:val="003C3B6C"/>
    <w:rsid w:val="003C3F38"/>
    <w:rsid w:val="003C4898"/>
    <w:rsid w:val="003C5055"/>
    <w:rsid w:val="003C5A28"/>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4933"/>
    <w:rsid w:val="003F561F"/>
    <w:rsid w:val="003F59C7"/>
    <w:rsid w:val="003F6904"/>
    <w:rsid w:val="00400356"/>
    <w:rsid w:val="00401FE1"/>
    <w:rsid w:val="004024A9"/>
    <w:rsid w:val="00402A53"/>
    <w:rsid w:val="00403B7A"/>
    <w:rsid w:val="00403F91"/>
    <w:rsid w:val="00404140"/>
    <w:rsid w:val="00404ECF"/>
    <w:rsid w:val="004054FA"/>
    <w:rsid w:val="00406536"/>
    <w:rsid w:val="00406D01"/>
    <w:rsid w:val="004074B2"/>
    <w:rsid w:val="004108F7"/>
    <w:rsid w:val="00410D69"/>
    <w:rsid w:val="00411532"/>
    <w:rsid w:val="00411BF6"/>
    <w:rsid w:val="00413028"/>
    <w:rsid w:val="00413720"/>
    <w:rsid w:val="00413AB7"/>
    <w:rsid w:val="00413B5B"/>
    <w:rsid w:val="004147E6"/>
    <w:rsid w:val="00415442"/>
    <w:rsid w:val="0041608C"/>
    <w:rsid w:val="004161B4"/>
    <w:rsid w:val="00416996"/>
    <w:rsid w:val="0041769E"/>
    <w:rsid w:val="00421273"/>
    <w:rsid w:val="0042236D"/>
    <w:rsid w:val="00422CF7"/>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4893"/>
    <w:rsid w:val="004358FE"/>
    <w:rsid w:val="00435945"/>
    <w:rsid w:val="00435C83"/>
    <w:rsid w:val="00435DB0"/>
    <w:rsid w:val="004369CE"/>
    <w:rsid w:val="00437D15"/>
    <w:rsid w:val="00437F96"/>
    <w:rsid w:val="00440A85"/>
    <w:rsid w:val="00442349"/>
    <w:rsid w:val="00442B6D"/>
    <w:rsid w:val="00443BCB"/>
    <w:rsid w:val="004443B1"/>
    <w:rsid w:val="00446D35"/>
    <w:rsid w:val="00446E01"/>
    <w:rsid w:val="004473DF"/>
    <w:rsid w:val="00447416"/>
    <w:rsid w:val="00447D1D"/>
    <w:rsid w:val="00450507"/>
    <w:rsid w:val="00452A71"/>
    <w:rsid w:val="00453179"/>
    <w:rsid w:val="004539B9"/>
    <w:rsid w:val="00455EA7"/>
    <w:rsid w:val="0045654A"/>
    <w:rsid w:val="00456621"/>
    <w:rsid w:val="0046036E"/>
    <w:rsid w:val="004607ED"/>
    <w:rsid w:val="0046127F"/>
    <w:rsid w:val="00462F5A"/>
    <w:rsid w:val="00463143"/>
    <w:rsid w:val="004631C5"/>
    <w:rsid w:val="004638F7"/>
    <w:rsid w:val="004653EA"/>
    <w:rsid w:val="00466109"/>
    <w:rsid w:val="00466985"/>
    <w:rsid w:val="004679BF"/>
    <w:rsid w:val="00470266"/>
    <w:rsid w:val="004721AB"/>
    <w:rsid w:val="00472822"/>
    <w:rsid w:val="00473A23"/>
    <w:rsid w:val="004746EB"/>
    <w:rsid w:val="00474E1C"/>
    <w:rsid w:val="004769C7"/>
    <w:rsid w:val="00476C85"/>
    <w:rsid w:val="00477B5A"/>
    <w:rsid w:val="00480472"/>
    <w:rsid w:val="00482569"/>
    <w:rsid w:val="00482B0C"/>
    <w:rsid w:val="00484D6D"/>
    <w:rsid w:val="00484F31"/>
    <w:rsid w:val="004858F4"/>
    <w:rsid w:val="00485A05"/>
    <w:rsid w:val="00486642"/>
    <w:rsid w:val="00486FE0"/>
    <w:rsid w:val="00487676"/>
    <w:rsid w:val="00487E64"/>
    <w:rsid w:val="00491CD6"/>
    <w:rsid w:val="004922B8"/>
    <w:rsid w:val="00492C2A"/>
    <w:rsid w:val="00494C28"/>
    <w:rsid w:val="004958A6"/>
    <w:rsid w:val="0049756D"/>
    <w:rsid w:val="004A1F94"/>
    <w:rsid w:val="004A3782"/>
    <w:rsid w:val="004A536E"/>
    <w:rsid w:val="004A5822"/>
    <w:rsid w:val="004A5BB3"/>
    <w:rsid w:val="004A71B6"/>
    <w:rsid w:val="004A79C3"/>
    <w:rsid w:val="004A7C86"/>
    <w:rsid w:val="004A7CFE"/>
    <w:rsid w:val="004B17F8"/>
    <w:rsid w:val="004B2045"/>
    <w:rsid w:val="004B2449"/>
    <w:rsid w:val="004B24F7"/>
    <w:rsid w:val="004B278A"/>
    <w:rsid w:val="004B2A08"/>
    <w:rsid w:val="004B414B"/>
    <w:rsid w:val="004B486C"/>
    <w:rsid w:val="004B4E50"/>
    <w:rsid w:val="004B5141"/>
    <w:rsid w:val="004B5227"/>
    <w:rsid w:val="004B5E34"/>
    <w:rsid w:val="004B6D59"/>
    <w:rsid w:val="004B7745"/>
    <w:rsid w:val="004B7A16"/>
    <w:rsid w:val="004C072F"/>
    <w:rsid w:val="004C0F52"/>
    <w:rsid w:val="004C245C"/>
    <w:rsid w:val="004C2870"/>
    <w:rsid w:val="004C2CFA"/>
    <w:rsid w:val="004C38E7"/>
    <w:rsid w:val="004C4B70"/>
    <w:rsid w:val="004C4C01"/>
    <w:rsid w:val="004C4ED4"/>
    <w:rsid w:val="004C511A"/>
    <w:rsid w:val="004C7B19"/>
    <w:rsid w:val="004D04BE"/>
    <w:rsid w:val="004D1A0A"/>
    <w:rsid w:val="004D1B9D"/>
    <w:rsid w:val="004D2C18"/>
    <w:rsid w:val="004D463A"/>
    <w:rsid w:val="004D4F4B"/>
    <w:rsid w:val="004D5761"/>
    <w:rsid w:val="004E05C2"/>
    <w:rsid w:val="004E1DF2"/>
    <w:rsid w:val="004E1EDD"/>
    <w:rsid w:val="004E2AEE"/>
    <w:rsid w:val="004E2D06"/>
    <w:rsid w:val="004E31C5"/>
    <w:rsid w:val="004E34AA"/>
    <w:rsid w:val="004E3789"/>
    <w:rsid w:val="004E3BF3"/>
    <w:rsid w:val="004E3FA7"/>
    <w:rsid w:val="004E5064"/>
    <w:rsid w:val="004E50B9"/>
    <w:rsid w:val="004E5F28"/>
    <w:rsid w:val="004E63E0"/>
    <w:rsid w:val="004E736E"/>
    <w:rsid w:val="004E7FFB"/>
    <w:rsid w:val="004F0C34"/>
    <w:rsid w:val="004F11AC"/>
    <w:rsid w:val="004F1C2D"/>
    <w:rsid w:val="004F28FE"/>
    <w:rsid w:val="004F2DA5"/>
    <w:rsid w:val="004F460F"/>
    <w:rsid w:val="00500541"/>
    <w:rsid w:val="00502A0D"/>
    <w:rsid w:val="00503885"/>
    <w:rsid w:val="00503996"/>
    <w:rsid w:val="00503C3A"/>
    <w:rsid w:val="005043F3"/>
    <w:rsid w:val="00505097"/>
    <w:rsid w:val="0050528C"/>
    <w:rsid w:val="00506048"/>
    <w:rsid w:val="00507334"/>
    <w:rsid w:val="0050738D"/>
    <w:rsid w:val="005100BC"/>
    <w:rsid w:val="00510380"/>
    <w:rsid w:val="0051052E"/>
    <w:rsid w:val="00511444"/>
    <w:rsid w:val="00512DE4"/>
    <w:rsid w:val="00513BFA"/>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2AE"/>
    <w:rsid w:val="00526E65"/>
    <w:rsid w:val="005271A0"/>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84A"/>
    <w:rsid w:val="00542928"/>
    <w:rsid w:val="00543EAC"/>
    <w:rsid w:val="00544D65"/>
    <w:rsid w:val="00545094"/>
    <w:rsid w:val="0054640A"/>
    <w:rsid w:val="00546BB6"/>
    <w:rsid w:val="00546F5F"/>
    <w:rsid w:val="0055034A"/>
    <w:rsid w:val="00550AFA"/>
    <w:rsid w:val="0055177F"/>
    <w:rsid w:val="00553BFA"/>
    <w:rsid w:val="00554215"/>
    <w:rsid w:val="00554663"/>
    <w:rsid w:val="005556D2"/>
    <w:rsid w:val="00557000"/>
    <w:rsid w:val="005572AF"/>
    <w:rsid w:val="0056020A"/>
    <w:rsid w:val="00560501"/>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2914"/>
    <w:rsid w:val="005A32AE"/>
    <w:rsid w:val="005A4065"/>
    <w:rsid w:val="005A472B"/>
    <w:rsid w:val="005A56BC"/>
    <w:rsid w:val="005A6396"/>
    <w:rsid w:val="005B04C5"/>
    <w:rsid w:val="005B0552"/>
    <w:rsid w:val="005B0F2E"/>
    <w:rsid w:val="005B11E3"/>
    <w:rsid w:val="005B19CD"/>
    <w:rsid w:val="005B1DF7"/>
    <w:rsid w:val="005B2EB9"/>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D01D3"/>
    <w:rsid w:val="005D0333"/>
    <w:rsid w:val="005D0E05"/>
    <w:rsid w:val="005D1BE5"/>
    <w:rsid w:val="005D1CF1"/>
    <w:rsid w:val="005D230D"/>
    <w:rsid w:val="005D250D"/>
    <w:rsid w:val="005D2522"/>
    <w:rsid w:val="005D25FC"/>
    <w:rsid w:val="005D2971"/>
    <w:rsid w:val="005D29A2"/>
    <w:rsid w:val="005D2CF1"/>
    <w:rsid w:val="005D319F"/>
    <w:rsid w:val="005D3CA1"/>
    <w:rsid w:val="005D46AF"/>
    <w:rsid w:val="005D493B"/>
    <w:rsid w:val="005D4F6F"/>
    <w:rsid w:val="005D655D"/>
    <w:rsid w:val="005D7353"/>
    <w:rsid w:val="005D7C3E"/>
    <w:rsid w:val="005E0943"/>
    <w:rsid w:val="005E1159"/>
    <w:rsid w:val="005E1E9E"/>
    <w:rsid w:val="005E326D"/>
    <w:rsid w:val="005E334E"/>
    <w:rsid w:val="005E36A0"/>
    <w:rsid w:val="005E36C1"/>
    <w:rsid w:val="005E3BA0"/>
    <w:rsid w:val="005E3E66"/>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4599"/>
    <w:rsid w:val="00616DE1"/>
    <w:rsid w:val="006177A5"/>
    <w:rsid w:val="00621268"/>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5FC"/>
    <w:rsid w:val="00636925"/>
    <w:rsid w:val="006369C3"/>
    <w:rsid w:val="00640DBD"/>
    <w:rsid w:val="00641420"/>
    <w:rsid w:val="00641FDF"/>
    <w:rsid w:val="00642847"/>
    <w:rsid w:val="006433E8"/>
    <w:rsid w:val="006441C8"/>
    <w:rsid w:val="00644393"/>
    <w:rsid w:val="00644D48"/>
    <w:rsid w:val="00644E03"/>
    <w:rsid w:val="0064529C"/>
    <w:rsid w:val="00645B94"/>
    <w:rsid w:val="00645E15"/>
    <w:rsid w:val="00647BFD"/>
    <w:rsid w:val="00650CED"/>
    <w:rsid w:val="00651C6E"/>
    <w:rsid w:val="006522D9"/>
    <w:rsid w:val="006527F0"/>
    <w:rsid w:val="00652A91"/>
    <w:rsid w:val="006539AF"/>
    <w:rsid w:val="00653B98"/>
    <w:rsid w:val="00656E81"/>
    <w:rsid w:val="006576ED"/>
    <w:rsid w:val="00660185"/>
    <w:rsid w:val="00660386"/>
    <w:rsid w:val="00660502"/>
    <w:rsid w:val="00660B8A"/>
    <w:rsid w:val="00661175"/>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045"/>
    <w:rsid w:val="006917B8"/>
    <w:rsid w:val="006918D6"/>
    <w:rsid w:val="0069236E"/>
    <w:rsid w:val="006923FC"/>
    <w:rsid w:val="006926B0"/>
    <w:rsid w:val="00694CF8"/>
    <w:rsid w:val="00695068"/>
    <w:rsid w:val="00695C96"/>
    <w:rsid w:val="006962A9"/>
    <w:rsid w:val="006969A4"/>
    <w:rsid w:val="00697A2E"/>
    <w:rsid w:val="00697FA5"/>
    <w:rsid w:val="006A03B6"/>
    <w:rsid w:val="006A0C22"/>
    <w:rsid w:val="006A0C6A"/>
    <w:rsid w:val="006A0FBB"/>
    <w:rsid w:val="006A195E"/>
    <w:rsid w:val="006A2135"/>
    <w:rsid w:val="006A2211"/>
    <w:rsid w:val="006A4738"/>
    <w:rsid w:val="006A545E"/>
    <w:rsid w:val="006A7CC5"/>
    <w:rsid w:val="006B0074"/>
    <w:rsid w:val="006B015A"/>
    <w:rsid w:val="006B0AB7"/>
    <w:rsid w:val="006B0B68"/>
    <w:rsid w:val="006B1239"/>
    <w:rsid w:val="006B16BE"/>
    <w:rsid w:val="006B3E90"/>
    <w:rsid w:val="006B410B"/>
    <w:rsid w:val="006B48E3"/>
    <w:rsid w:val="006C10AA"/>
    <w:rsid w:val="006C1EFB"/>
    <w:rsid w:val="006C37C5"/>
    <w:rsid w:val="006C4E2E"/>
    <w:rsid w:val="006C6939"/>
    <w:rsid w:val="006C7067"/>
    <w:rsid w:val="006D13B1"/>
    <w:rsid w:val="006D2756"/>
    <w:rsid w:val="006D30B1"/>
    <w:rsid w:val="006D32A4"/>
    <w:rsid w:val="006D39F8"/>
    <w:rsid w:val="006D410D"/>
    <w:rsid w:val="006D4114"/>
    <w:rsid w:val="006D537C"/>
    <w:rsid w:val="006D6703"/>
    <w:rsid w:val="006D6752"/>
    <w:rsid w:val="006D69F1"/>
    <w:rsid w:val="006D6FDB"/>
    <w:rsid w:val="006D748F"/>
    <w:rsid w:val="006E027D"/>
    <w:rsid w:val="006E02D9"/>
    <w:rsid w:val="006E035A"/>
    <w:rsid w:val="006E0363"/>
    <w:rsid w:val="006E179C"/>
    <w:rsid w:val="006E24AE"/>
    <w:rsid w:val="006E32F9"/>
    <w:rsid w:val="006E486A"/>
    <w:rsid w:val="006E6335"/>
    <w:rsid w:val="006E79A0"/>
    <w:rsid w:val="006F0C02"/>
    <w:rsid w:val="006F242F"/>
    <w:rsid w:val="006F29AE"/>
    <w:rsid w:val="006F2D1E"/>
    <w:rsid w:val="006F3406"/>
    <w:rsid w:val="006F393C"/>
    <w:rsid w:val="006F420B"/>
    <w:rsid w:val="006F4346"/>
    <w:rsid w:val="006F480D"/>
    <w:rsid w:val="006F4F72"/>
    <w:rsid w:val="006F4FCD"/>
    <w:rsid w:val="006F6ADD"/>
    <w:rsid w:val="006F73DE"/>
    <w:rsid w:val="006F772F"/>
    <w:rsid w:val="0070192E"/>
    <w:rsid w:val="00702461"/>
    <w:rsid w:val="0070283F"/>
    <w:rsid w:val="00702BA8"/>
    <w:rsid w:val="00702E37"/>
    <w:rsid w:val="00702F50"/>
    <w:rsid w:val="0070319E"/>
    <w:rsid w:val="0070342E"/>
    <w:rsid w:val="00704258"/>
    <w:rsid w:val="007044F2"/>
    <w:rsid w:val="00704601"/>
    <w:rsid w:val="0070546F"/>
    <w:rsid w:val="00705E5E"/>
    <w:rsid w:val="00705EC3"/>
    <w:rsid w:val="00706FFC"/>
    <w:rsid w:val="0070767B"/>
    <w:rsid w:val="0071002D"/>
    <w:rsid w:val="00711FAB"/>
    <w:rsid w:val="00712530"/>
    <w:rsid w:val="0071262C"/>
    <w:rsid w:val="00713107"/>
    <w:rsid w:val="007136A8"/>
    <w:rsid w:val="007137FC"/>
    <w:rsid w:val="007146B5"/>
    <w:rsid w:val="00714943"/>
    <w:rsid w:val="00714A40"/>
    <w:rsid w:val="00714AD7"/>
    <w:rsid w:val="00714FA6"/>
    <w:rsid w:val="00715445"/>
    <w:rsid w:val="00717318"/>
    <w:rsid w:val="00717908"/>
    <w:rsid w:val="007200E2"/>
    <w:rsid w:val="0072101C"/>
    <w:rsid w:val="00721133"/>
    <w:rsid w:val="0072398C"/>
    <w:rsid w:val="00724937"/>
    <w:rsid w:val="00724F9E"/>
    <w:rsid w:val="00725F65"/>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3DCA"/>
    <w:rsid w:val="00754404"/>
    <w:rsid w:val="0075549D"/>
    <w:rsid w:val="0075587A"/>
    <w:rsid w:val="0075587B"/>
    <w:rsid w:val="00756201"/>
    <w:rsid w:val="007567BF"/>
    <w:rsid w:val="007567F2"/>
    <w:rsid w:val="00760AC5"/>
    <w:rsid w:val="00761E90"/>
    <w:rsid w:val="00761FDE"/>
    <w:rsid w:val="007635BC"/>
    <w:rsid w:val="0076516E"/>
    <w:rsid w:val="0076547D"/>
    <w:rsid w:val="00765BA2"/>
    <w:rsid w:val="00767D67"/>
    <w:rsid w:val="0077069E"/>
    <w:rsid w:val="0077226A"/>
    <w:rsid w:val="007728C9"/>
    <w:rsid w:val="00772C69"/>
    <w:rsid w:val="007741B1"/>
    <w:rsid w:val="00774EE9"/>
    <w:rsid w:val="00775480"/>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C97"/>
    <w:rsid w:val="00790E76"/>
    <w:rsid w:val="0079171D"/>
    <w:rsid w:val="00791843"/>
    <w:rsid w:val="00792FEC"/>
    <w:rsid w:val="00793034"/>
    <w:rsid w:val="00793CC9"/>
    <w:rsid w:val="00794EFE"/>
    <w:rsid w:val="00795029"/>
    <w:rsid w:val="007950DD"/>
    <w:rsid w:val="007956A3"/>
    <w:rsid w:val="0079705B"/>
    <w:rsid w:val="007A1B8E"/>
    <w:rsid w:val="007A1C47"/>
    <w:rsid w:val="007A3F2D"/>
    <w:rsid w:val="007A3F95"/>
    <w:rsid w:val="007A494B"/>
    <w:rsid w:val="007A4A4F"/>
    <w:rsid w:val="007A527B"/>
    <w:rsid w:val="007A5F44"/>
    <w:rsid w:val="007A6630"/>
    <w:rsid w:val="007A6BE0"/>
    <w:rsid w:val="007A7429"/>
    <w:rsid w:val="007B0B6A"/>
    <w:rsid w:val="007B11A8"/>
    <w:rsid w:val="007B1521"/>
    <w:rsid w:val="007B1F9E"/>
    <w:rsid w:val="007B22AC"/>
    <w:rsid w:val="007B2365"/>
    <w:rsid w:val="007B2E32"/>
    <w:rsid w:val="007B31DC"/>
    <w:rsid w:val="007B3315"/>
    <w:rsid w:val="007B3DA1"/>
    <w:rsid w:val="007B6B7B"/>
    <w:rsid w:val="007C0CD0"/>
    <w:rsid w:val="007C12A1"/>
    <w:rsid w:val="007C2486"/>
    <w:rsid w:val="007C2E8D"/>
    <w:rsid w:val="007C370D"/>
    <w:rsid w:val="007C53CB"/>
    <w:rsid w:val="007C58F0"/>
    <w:rsid w:val="007C633C"/>
    <w:rsid w:val="007C69DF"/>
    <w:rsid w:val="007C7BAB"/>
    <w:rsid w:val="007C7EE1"/>
    <w:rsid w:val="007D09AA"/>
    <w:rsid w:val="007D14AE"/>
    <w:rsid w:val="007D2216"/>
    <w:rsid w:val="007D260F"/>
    <w:rsid w:val="007D292C"/>
    <w:rsid w:val="007D31B9"/>
    <w:rsid w:val="007D32D6"/>
    <w:rsid w:val="007D50AB"/>
    <w:rsid w:val="007D52FA"/>
    <w:rsid w:val="007D5E5B"/>
    <w:rsid w:val="007D6599"/>
    <w:rsid w:val="007D6A25"/>
    <w:rsid w:val="007D726C"/>
    <w:rsid w:val="007E25BF"/>
    <w:rsid w:val="007E34BB"/>
    <w:rsid w:val="007E71D2"/>
    <w:rsid w:val="007E7388"/>
    <w:rsid w:val="007E75B5"/>
    <w:rsid w:val="007F071D"/>
    <w:rsid w:val="007F21AA"/>
    <w:rsid w:val="007F289E"/>
    <w:rsid w:val="007F2B20"/>
    <w:rsid w:val="007F323E"/>
    <w:rsid w:val="007F37B9"/>
    <w:rsid w:val="007F4B83"/>
    <w:rsid w:val="007F4D69"/>
    <w:rsid w:val="007F5123"/>
    <w:rsid w:val="007F6118"/>
    <w:rsid w:val="007F763F"/>
    <w:rsid w:val="0080120E"/>
    <w:rsid w:val="008027BE"/>
    <w:rsid w:val="00802A79"/>
    <w:rsid w:val="00803896"/>
    <w:rsid w:val="00803911"/>
    <w:rsid w:val="008068CC"/>
    <w:rsid w:val="00807FF1"/>
    <w:rsid w:val="00810207"/>
    <w:rsid w:val="0081020F"/>
    <w:rsid w:val="008104B9"/>
    <w:rsid w:val="008121A8"/>
    <w:rsid w:val="008126DC"/>
    <w:rsid w:val="00812A77"/>
    <w:rsid w:val="00814431"/>
    <w:rsid w:val="00814632"/>
    <w:rsid w:val="008146B2"/>
    <w:rsid w:val="00815131"/>
    <w:rsid w:val="008155C0"/>
    <w:rsid w:val="00815822"/>
    <w:rsid w:val="00815AEC"/>
    <w:rsid w:val="00816E89"/>
    <w:rsid w:val="00816F4A"/>
    <w:rsid w:val="0081717C"/>
    <w:rsid w:val="008175A7"/>
    <w:rsid w:val="00820235"/>
    <w:rsid w:val="008234D1"/>
    <w:rsid w:val="0082372E"/>
    <w:rsid w:val="00826109"/>
    <w:rsid w:val="00826D17"/>
    <w:rsid w:val="00827488"/>
    <w:rsid w:val="00831106"/>
    <w:rsid w:val="00832A76"/>
    <w:rsid w:val="0083474C"/>
    <w:rsid w:val="00834787"/>
    <w:rsid w:val="00834B09"/>
    <w:rsid w:val="00835577"/>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273"/>
    <w:rsid w:val="00854F4C"/>
    <w:rsid w:val="00854F64"/>
    <w:rsid w:val="00855BBF"/>
    <w:rsid w:val="00856078"/>
    <w:rsid w:val="00857726"/>
    <w:rsid w:val="008609C0"/>
    <w:rsid w:val="008610D2"/>
    <w:rsid w:val="00862CF0"/>
    <w:rsid w:val="00863C73"/>
    <w:rsid w:val="00863CD4"/>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809E3"/>
    <w:rsid w:val="00880A10"/>
    <w:rsid w:val="00880B80"/>
    <w:rsid w:val="00881157"/>
    <w:rsid w:val="00881A30"/>
    <w:rsid w:val="00882A30"/>
    <w:rsid w:val="00883D51"/>
    <w:rsid w:val="00885002"/>
    <w:rsid w:val="008852C4"/>
    <w:rsid w:val="008859B5"/>
    <w:rsid w:val="00885AFC"/>
    <w:rsid w:val="00887BBE"/>
    <w:rsid w:val="008900DE"/>
    <w:rsid w:val="008913E0"/>
    <w:rsid w:val="008924A2"/>
    <w:rsid w:val="00892A47"/>
    <w:rsid w:val="00893091"/>
    <w:rsid w:val="00893637"/>
    <w:rsid w:val="00893641"/>
    <w:rsid w:val="00893EE5"/>
    <w:rsid w:val="00894120"/>
    <w:rsid w:val="00895AC3"/>
    <w:rsid w:val="00896834"/>
    <w:rsid w:val="00896964"/>
    <w:rsid w:val="00896B95"/>
    <w:rsid w:val="008A01A5"/>
    <w:rsid w:val="008A1664"/>
    <w:rsid w:val="008A5CAD"/>
    <w:rsid w:val="008A74BC"/>
    <w:rsid w:val="008A7935"/>
    <w:rsid w:val="008B0266"/>
    <w:rsid w:val="008B1767"/>
    <w:rsid w:val="008B1982"/>
    <w:rsid w:val="008B1A97"/>
    <w:rsid w:val="008B31EA"/>
    <w:rsid w:val="008B36B0"/>
    <w:rsid w:val="008B3857"/>
    <w:rsid w:val="008B3B41"/>
    <w:rsid w:val="008B3BA5"/>
    <w:rsid w:val="008B4A55"/>
    <w:rsid w:val="008B4B08"/>
    <w:rsid w:val="008B5272"/>
    <w:rsid w:val="008B655E"/>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3484"/>
    <w:rsid w:val="008D4008"/>
    <w:rsid w:val="008D4645"/>
    <w:rsid w:val="008D4A01"/>
    <w:rsid w:val="008D51B0"/>
    <w:rsid w:val="008D7287"/>
    <w:rsid w:val="008E01B1"/>
    <w:rsid w:val="008E0C7C"/>
    <w:rsid w:val="008E1C3F"/>
    <w:rsid w:val="008E2AA0"/>
    <w:rsid w:val="008E3522"/>
    <w:rsid w:val="008E367A"/>
    <w:rsid w:val="008E5F73"/>
    <w:rsid w:val="008E7066"/>
    <w:rsid w:val="008E7421"/>
    <w:rsid w:val="008F0118"/>
    <w:rsid w:val="008F0698"/>
    <w:rsid w:val="008F0ABA"/>
    <w:rsid w:val="008F1378"/>
    <w:rsid w:val="008F14B4"/>
    <w:rsid w:val="008F1837"/>
    <w:rsid w:val="008F2014"/>
    <w:rsid w:val="008F29DA"/>
    <w:rsid w:val="008F3C55"/>
    <w:rsid w:val="008F4A1E"/>
    <w:rsid w:val="008F4B05"/>
    <w:rsid w:val="008F4FF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6DA"/>
    <w:rsid w:val="00907CC9"/>
    <w:rsid w:val="0091017C"/>
    <w:rsid w:val="00910789"/>
    <w:rsid w:val="00910AE1"/>
    <w:rsid w:val="00911F65"/>
    <w:rsid w:val="00912B06"/>
    <w:rsid w:val="00913086"/>
    <w:rsid w:val="00913C45"/>
    <w:rsid w:val="0091419C"/>
    <w:rsid w:val="00914C2C"/>
    <w:rsid w:val="00915B4C"/>
    <w:rsid w:val="0091608E"/>
    <w:rsid w:val="009174E1"/>
    <w:rsid w:val="009201CC"/>
    <w:rsid w:val="0092176A"/>
    <w:rsid w:val="0092407E"/>
    <w:rsid w:val="00924400"/>
    <w:rsid w:val="00924E11"/>
    <w:rsid w:val="00924EBB"/>
    <w:rsid w:val="00925216"/>
    <w:rsid w:val="00925C27"/>
    <w:rsid w:val="00926C10"/>
    <w:rsid w:val="009275E2"/>
    <w:rsid w:val="00927FA4"/>
    <w:rsid w:val="0093145A"/>
    <w:rsid w:val="0093240F"/>
    <w:rsid w:val="0093289E"/>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3FE6"/>
    <w:rsid w:val="0094465D"/>
    <w:rsid w:val="009463F8"/>
    <w:rsid w:val="0094651C"/>
    <w:rsid w:val="00946816"/>
    <w:rsid w:val="00946A2C"/>
    <w:rsid w:val="00946C58"/>
    <w:rsid w:val="0095002B"/>
    <w:rsid w:val="00950502"/>
    <w:rsid w:val="009508A0"/>
    <w:rsid w:val="009518F8"/>
    <w:rsid w:val="009522F7"/>
    <w:rsid w:val="009526D0"/>
    <w:rsid w:val="00952792"/>
    <w:rsid w:val="00952DAF"/>
    <w:rsid w:val="0095307E"/>
    <w:rsid w:val="00953F9E"/>
    <w:rsid w:val="00954A0A"/>
    <w:rsid w:val="00954B74"/>
    <w:rsid w:val="009551E0"/>
    <w:rsid w:val="009556E7"/>
    <w:rsid w:val="0095592F"/>
    <w:rsid w:val="00955EE4"/>
    <w:rsid w:val="009562BC"/>
    <w:rsid w:val="00956377"/>
    <w:rsid w:val="009563DB"/>
    <w:rsid w:val="00957A8C"/>
    <w:rsid w:val="00957E87"/>
    <w:rsid w:val="00957F9F"/>
    <w:rsid w:val="009615D6"/>
    <w:rsid w:val="00962897"/>
    <w:rsid w:val="0096325C"/>
    <w:rsid w:val="0096598C"/>
    <w:rsid w:val="00966784"/>
    <w:rsid w:val="00966F1C"/>
    <w:rsid w:val="00970043"/>
    <w:rsid w:val="009708A1"/>
    <w:rsid w:val="00971069"/>
    <w:rsid w:val="00971418"/>
    <w:rsid w:val="0097165A"/>
    <w:rsid w:val="00971922"/>
    <w:rsid w:val="00972809"/>
    <w:rsid w:val="00972935"/>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5F4"/>
    <w:rsid w:val="009858C8"/>
    <w:rsid w:val="00985A2D"/>
    <w:rsid w:val="00986364"/>
    <w:rsid w:val="00990838"/>
    <w:rsid w:val="00991328"/>
    <w:rsid w:val="00991D57"/>
    <w:rsid w:val="00993B2C"/>
    <w:rsid w:val="00993C24"/>
    <w:rsid w:val="009968B9"/>
    <w:rsid w:val="00997856"/>
    <w:rsid w:val="009A1A39"/>
    <w:rsid w:val="009A28F4"/>
    <w:rsid w:val="009A2A03"/>
    <w:rsid w:val="009A2F48"/>
    <w:rsid w:val="009A308D"/>
    <w:rsid w:val="009A32E0"/>
    <w:rsid w:val="009A3436"/>
    <w:rsid w:val="009A378F"/>
    <w:rsid w:val="009A3AC9"/>
    <w:rsid w:val="009A581F"/>
    <w:rsid w:val="009A58A7"/>
    <w:rsid w:val="009A6D67"/>
    <w:rsid w:val="009A7C7B"/>
    <w:rsid w:val="009A7F5D"/>
    <w:rsid w:val="009B0049"/>
    <w:rsid w:val="009B0438"/>
    <w:rsid w:val="009B0AC5"/>
    <w:rsid w:val="009B119F"/>
    <w:rsid w:val="009B18CF"/>
    <w:rsid w:val="009B19F9"/>
    <w:rsid w:val="009B1B26"/>
    <w:rsid w:val="009B2465"/>
    <w:rsid w:val="009B2F99"/>
    <w:rsid w:val="009B3008"/>
    <w:rsid w:val="009B3289"/>
    <w:rsid w:val="009B362B"/>
    <w:rsid w:val="009B48CB"/>
    <w:rsid w:val="009B4E3A"/>
    <w:rsid w:val="009B7A8C"/>
    <w:rsid w:val="009B7E8F"/>
    <w:rsid w:val="009C1707"/>
    <w:rsid w:val="009C1ABC"/>
    <w:rsid w:val="009C1D7F"/>
    <w:rsid w:val="009C2EC3"/>
    <w:rsid w:val="009C3807"/>
    <w:rsid w:val="009C3827"/>
    <w:rsid w:val="009C45A7"/>
    <w:rsid w:val="009C52E7"/>
    <w:rsid w:val="009C5875"/>
    <w:rsid w:val="009C5E53"/>
    <w:rsid w:val="009C5FA2"/>
    <w:rsid w:val="009C62BF"/>
    <w:rsid w:val="009C703F"/>
    <w:rsid w:val="009C7343"/>
    <w:rsid w:val="009D0D0E"/>
    <w:rsid w:val="009D103C"/>
    <w:rsid w:val="009D2825"/>
    <w:rsid w:val="009D3AA6"/>
    <w:rsid w:val="009D3CB0"/>
    <w:rsid w:val="009D4085"/>
    <w:rsid w:val="009D57AA"/>
    <w:rsid w:val="009D584D"/>
    <w:rsid w:val="009D61EF"/>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47E"/>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91F"/>
    <w:rsid w:val="00A05FCF"/>
    <w:rsid w:val="00A068C2"/>
    <w:rsid w:val="00A06A0E"/>
    <w:rsid w:val="00A0702F"/>
    <w:rsid w:val="00A07EB6"/>
    <w:rsid w:val="00A1045A"/>
    <w:rsid w:val="00A10693"/>
    <w:rsid w:val="00A10B0F"/>
    <w:rsid w:val="00A11F4C"/>
    <w:rsid w:val="00A12203"/>
    <w:rsid w:val="00A12479"/>
    <w:rsid w:val="00A133E2"/>
    <w:rsid w:val="00A14A95"/>
    <w:rsid w:val="00A16083"/>
    <w:rsid w:val="00A165EE"/>
    <w:rsid w:val="00A16AAC"/>
    <w:rsid w:val="00A16C6F"/>
    <w:rsid w:val="00A1724C"/>
    <w:rsid w:val="00A17461"/>
    <w:rsid w:val="00A201F8"/>
    <w:rsid w:val="00A20E25"/>
    <w:rsid w:val="00A21A1E"/>
    <w:rsid w:val="00A22B74"/>
    <w:rsid w:val="00A232A5"/>
    <w:rsid w:val="00A23C0D"/>
    <w:rsid w:val="00A23F71"/>
    <w:rsid w:val="00A248C1"/>
    <w:rsid w:val="00A24CBA"/>
    <w:rsid w:val="00A26C83"/>
    <w:rsid w:val="00A26E96"/>
    <w:rsid w:val="00A27A4F"/>
    <w:rsid w:val="00A3063D"/>
    <w:rsid w:val="00A3199D"/>
    <w:rsid w:val="00A31ED7"/>
    <w:rsid w:val="00A32803"/>
    <w:rsid w:val="00A33EAB"/>
    <w:rsid w:val="00A3487C"/>
    <w:rsid w:val="00A358ED"/>
    <w:rsid w:val="00A36306"/>
    <w:rsid w:val="00A4069E"/>
    <w:rsid w:val="00A40844"/>
    <w:rsid w:val="00A40B19"/>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3FA3"/>
    <w:rsid w:val="00A64349"/>
    <w:rsid w:val="00A64817"/>
    <w:rsid w:val="00A64E1D"/>
    <w:rsid w:val="00A67A1B"/>
    <w:rsid w:val="00A7025F"/>
    <w:rsid w:val="00A70467"/>
    <w:rsid w:val="00A7130E"/>
    <w:rsid w:val="00A71353"/>
    <w:rsid w:val="00A71632"/>
    <w:rsid w:val="00A717A5"/>
    <w:rsid w:val="00A73306"/>
    <w:rsid w:val="00A73B22"/>
    <w:rsid w:val="00A74C4F"/>
    <w:rsid w:val="00A75ACF"/>
    <w:rsid w:val="00A7620C"/>
    <w:rsid w:val="00A7792D"/>
    <w:rsid w:val="00A8130E"/>
    <w:rsid w:val="00A81652"/>
    <w:rsid w:val="00A81C3E"/>
    <w:rsid w:val="00A82BD4"/>
    <w:rsid w:val="00A82E55"/>
    <w:rsid w:val="00A832E3"/>
    <w:rsid w:val="00A844E8"/>
    <w:rsid w:val="00A8599D"/>
    <w:rsid w:val="00A85BA9"/>
    <w:rsid w:val="00A866F1"/>
    <w:rsid w:val="00A86AAC"/>
    <w:rsid w:val="00A90D37"/>
    <w:rsid w:val="00A91411"/>
    <w:rsid w:val="00A92EDF"/>
    <w:rsid w:val="00A93F1B"/>
    <w:rsid w:val="00A952F6"/>
    <w:rsid w:val="00A95CFA"/>
    <w:rsid w:val="00A96DE8"/>
    <w:rsid w:val="00A97520"/>
    <w:rsid w:val="00AA0743"/>
    <w:rsid w:val="00AA0FFE"/>
    <w:rsid w:val="00AA14C9"/>
    <w:rsid w:val="00AA25DD"/>
    <w:rsid w:val="00AA27F3"/>
    <w:rsid w:val="00AA37FA"/>
    <w:rsid w:val="00AA3B95"/>
    <w:rsid w:val="00AA3EF8"/>
    <w:rsid w:val="00AA4AD1"/>
    <w:rsid w:val="00AA6130"/>
    <w:rsid w:val="00AA6136"/>
    <w:rsid w:val="00AA7162"/>
    <w:rsid w:val="00AA71DE"/>
    <w:rsid w:val="00AA7E3B"/>
    <w:rsid w:val="00AB252A"/>
    <w:rsid w:val="00AB25C3"/>
    <w:rsid w:val="00AB2F57"/>
    <w:rsid w:val="00AB4934"/>
    <w:rsid w:val="00AB4C76"/>
    <w:rsid w:val="00AB6B63"/>
    <w:rsid w:val="00AB719C"/>
    <w:rsid w:val="00AB7B69"/>
    <w:rsid w:val="00AC01C7"/>
    <w:rsid w:val="00AC09E9"/>
    <w:rsid w:val="00AC0E63"/>
    <w:rsid w:val="00AC10CB"/>
    <w:rsid w:val="00AC18AF"/>
    <w:rsid w:val="00AC194D"/>
    <w:rsid w:val="00AC1DA4"/>
    <w:rsid w:val="00AC2242"/>
    <w:rsid w:val="00AC24CA"/>
    <w:rsid w:val="00AC2B78"/>
    <w:rsid w:val="00AC4253"/>
    <w:rsid w:val="00AC4F68"/>
    <w:rsid w:val="00AC57A8"/>
    <w:rsid w:val="00AC6B82"/>
    <w:rsid w:val="00AC6CC8"/>
    <w:rsid w:val="00AC7AD3"/>
    <w:rsid w:val="00AD079A"/>
    <w:rsid w:val="00AD10C0"/>
    <w:rsid w:val="00AD1197"/>
    <w:rsid w:val="00AD2400"/>
    <w:rsid w:val="00AD27AB"/>
    <w:rsid w:val="00AD2A3C"/>
    <w:rsid w:val="00AD4052"/>
    <w:rsid w:val="00AD4574"/>
    <w:rsid w:val="00AD4F4A"/>
    <w:rsid w:val="00AD534E"/>
    <w:rsid w:val="00AD59E1"/>
    <w:rsid w:val="00AD630A"/>
    <w:rsid w:val="00AD6E07"/>
    <w:rsid w:val="00AD7D29"/>
    <w:rsid w:val="00AE016D"/>
    <w:rsid w:val="00AE0288"/>
    <w:rsid w:val="00AE252F"/>
    <w:rsid w:val="00AE4B12"/>
    <w:rsid w:val="00AE5D03"/>
    <w:rsid w:val="00AE6168"/>
    <w:rsid w:val="00AE7E8E"/>
    <w:rsid w:val="00AF0899"/>
    <w:rsid w:val="00AF1865"/>
    <w:rsid w:val="00AF1DCE"/>
    <w:rsid w:val="00AF1E5A"/>
    <w:rsid w:val="00AF2921"/>
    <w:rsid w:val="00AF3685"/>
    <w:rsid w:val="00AF5A92"/>
    <w:rsid w:val="00AF5C42"/>
    <w:rsid w:val="00AF71CB"/>
    <w:rsid w:val="00AF73A2"/>
    <w:rsid w:val="00B01457"/>
    <w:rsid w:val="00B02640"/>
    <w:rsid w:val="00B0300C"/>
    <w:rsid w:val="00B04EBD"/>
    <w:rsid w:val="00B05548"/>
    <w:rsid w:val="00B0572B"/>
    <w:rsid w:val="00B05734"/>
    <w:rsid w:val="00B0636F"/>
    <w:rsid w:val="00B06433"/>
    <w:rsid w:val="00B06571"/>
    <w:rsid w:val="00B06958"/>
    <w:rsid w:val="00B07416"/>
    <w:rsid w:val="00B07E8C"/>
    <w:rsid w:val="00B10088"/>
    <w:rsid w:val="00B100F9"/>
    <w:rsid w:val="00B10A09"/>
    <w:rsid w:val="00B111A4"/>
    <w:rsid w:val="00B12B46"/>
    <w:rsid w:val="00B14007"/>
    <w:rsid w:val="00B1487A"/>
    <w:rsid w:val="00B15773"/>
    <w:rsid w:val="00B20026"/>
    <w:rsid w:val="00B2156E"/>
    <w:rsid w:val="00B21B73"/>
    <w:rsid w:val="00B22057"/>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12B"/>
    <w:rsid w:val="00B4463A"/>
    <w:rsid w:val="00B450BE"/>
    <w:rsid w:val="00B457CC"/>
    <w:rsid w:val="00B45C4A"/>
    <w:rsid w:val="00B45D58"/>
    <w:rsid w:val="00B45F6B"/>
    <w:rsid w:val="00B46B3E"/>
    <w:rsid w:val="00B511F8"/>
    <w:rsid w:val="00B517AD"/>
    <w:rsid w:val="00B538C2"/>
    <w:rsid w:val="00B53CFA"/>
    <w:rsid w:val="00B54068"/>
    <w:rsid w:val="00B55497"/>
    <w:rsid w:val="00B567E4"/>
    <w:rsid w:val="00B57581"/>
    <w:rsid w:val="00B57F41"/>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6684"/>
    <w:rsid w:val="00B77827"/>
    <w:rsid w:val="00B77A09"/>
    <w:rsid w:val="00B77C3D"/>
    <w:rsid w:val="00B801FA"/>
    <w:rsid w:val="00B81013"/>
    <w:rsid w:val="00B81634"/>
    <w:rsid w:val="00B819D7"/>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D6"/>
    <w:rsid w:val="00B92A51"/>
    <w:rsid w:val="00B93B03"/>
    <w:rsid w:val="00B94201"/>
    <w:rsid w:val="00B942ED"/>
    <w:rsid w:val="00B94332"/>
    <w:rsid w:val="00B9474D"/>
    <w:rsid w:val="00B954A8"/>
    <w:rsid w:val="00B95EAE"/>
    <w:rsid w:val="00BA02FA"/>
    <w:rsid w:val="00BA1AB5"/>
    <w:rsid w:val="00BA287E"/>
    <w:rsid w:val="00BA2A3D"/>
    <w:rsid w:val="00BA2DDA"/>
    <w:rsid w:val="00BA4098"/>
    <w:rsid w:val="00BA6EB5"/>
    <w:rsid w:val="00BB146E"/>
    <w:rsid w:val="00BB18D8"/>
    <w:rsid w:val="00BB1A19"/>
    <w:rsid w:val="00BB1ADC"/>
    <w:rsid w:val="00BB1E63"/>
    <w:rsid w:val="00BB220B"/>
    <w:rsid w:val="00BB28B5"/>
    <w:rsid w:val="00BB3870"/>
    <w:rsid w:val="00BB3EE6"/>
    <w:rsid w:val="00BB471D"/>
    <w:rsid w:val="00BB47AF"/>
    <w:rsid w:val="00BB644F"/>
    <w:rsid w:val="00BB6537"/>
    <w:rsid w:val="00BB692F"/>
    <w:rsid w:val="00BB76D0"/>
    <w:rsid w:val="00BB7F93"/>
    <w:rsid w:val="00BC1E74"/>
    <w:rsid w:val="00BC252F"/>
    <w:rsid w:val="00BC2995"/>
    <w:rsid w:val="00BC498F"/>
    <w:rsid w:val="00BC4D12"/>
    <w:rsid w:val="00BC4E53"/>
    <w:rsid w:val="00BC6270"/>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2B64"/>
    <w:rsid w:val="00BE49A8"/>
    <w:rsid w:val="00BE58D1"/>
    <w:rsid w:val="00BE6872"/>
    <w:rsid w:val="00BE70CE"/>
    <w:rsid w:val="00BE729B"/>
    <w:rsid w:val="00BE7A9F"/>
    <w:rsid w:val="00BE7AAE"/>
    <w:rsid w:val="00BF103C"/>
    <w:rsid w:val="00BF13F3"/>
    <w:rsid w:val="00BF2083"/>
    <w:rsid w:val="00BF2743"/>
    <w:rsid w:val="00BF30D5"/>
    <w:rsid w:val="00BF3CAB"/>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0932"/>
    <w:rsid w:val="00C11027"/>
    <w:rsid w:val="00C1123D"/>
    <w:rsid w:val="00C1252F"/>
    <w:rsid w:val="00C142BB"/>
    <w:rsid w:val="00C150B7"/>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6954"/>
    <w:rsid w:val="00C26B22"/>
    <w:rsid w:val="00C27D0E"/>
    <w:rsid w:val="00C30531"/>
    <w:rsid w:val="00C306B9"/>
    <w:rsid w:val="00C30BE5"/>
    <w:rsid w:val="00C30C46"/>
    <w:rsid w:val="00C310F5"/>
    <w:rsid w:val="00C311F1"/>
    <w:rsid w:val="00C31B14"/>
    <w:rsid w:val="00C31FED"/>
    <w:rsid w:val="00C326E8"/>
    <w:rsid w:val="00C3391B"/>
    <w:rsid w:val="00C33CCD"/>
    <w:rsid w:val="00C35D92"/>
    <w:rsid w:val="00C36615"/>
    <w:rsid w:val="00C3704E"/>
    <w:rsid w:val="00C4016B"/>
    <w:rsid w:val="00C40B71"/>
    <w:rsid w:val="00C41E93"/>
    <w:rsid w:val="00C429F8"/>
    <w:rsid w:val="00C43231"/>
    <w:rsid w:val="00C447CC"/>
    <w:rsid w:val="00C44889"/>
    <w:rsid w:val="00C454B6"/>
    <w:rsid w:val="00C455A8"/>
    <w:rsid w:val="00C461FA"/>
    <w:rsid w:val="00C463A6"/>
    <w:rsid w:val="00C46406"/>
    <w:rsid w:val="00C46449"/>
    <w:rsid w:val="00C46FE3"/>
    <w:rsid w:val="00C473A7"/>
    <w:rsid w:val="00C50C94"/>
    <w:rsid w:val="00C512F9"/>
    <w:rsid w:val="00C51A18"/>
    <w:rsid w:val="00C51B76"/>
    <w:rsid w:val="00C51D4F"/>
    <w:rsid w:val="00C5299B"/>
    <w:rsid w:val="00C52FBB"/>
    <w:rsid w:val="00C53074"/>
    <w:rsid w:val="00C54694"/>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875"/>
    <w:rsid w:val="00C70B0F"/>
    <w:rsid w:val="00C716CE"/>
    <w:rsid w:val="00C719BD"/>
    <w:rsid w:val="00C72170"/>
    <w:rsid w:val="00C73C17"/>
    <w:rsid w:val="00C74E65"/>
    <w:rsid w:val="00C76053"/>
    <w:rsid w:val="00C77760"/>
    <w:rsid w:val="00C80184"/>
    <w:rsid w:val="00C804CB"/>
    <w:rsid w:val="00C8069F"/>
    <w:rsid w:val="00C80D77"/>
    <w:rsid w:val="00C82183"/>
    <w:rsid w:val="00C82DAB"/>
    <w:rsid w:val="00C8459E"/>
    <w:rsid w:val="00C851EA"/>
    <w:rsid w:val="00C85200"/>
    <w:rsid w:val="00C85B20"/>
    <w:rsid w:val="00C860DE"/>
    <w:rsid w:val="00C86E22"/>
    <w:rsid w:val="00C87F65"/>
    <w:rsid w:val="00C91732"/>
    <w:rsid w:val="00C9173B"/>
    <w:rsid w:val="00C917CD"/>
    <w:rsid w:val="00C9330E"/>
    <w:rsid w:val="00C95A40"/>
    <w:rsid w:val="00C96450"/>
    <w:rsid w:val="00CA04D8"/>
    <w:rsid w:val="00CA06CD"/>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4937"/>
    <w:rsid w:val="00CB51FB"/>
    <w:rsid w:val="00CB54FF"/>
    <w:rsid w:val="00CB58E8"/>
    <w:rsid w:val="00CB62E9"/>
    <w:rsid w:val="00CB71E0"/>
    <w:rsid w:val="00CB7BFD"/>
    <w:rsid w:val="00CC0150"/>
    <w:rsid w:val="00CC0545"/>
    <w:rsid w:val="00CC1E32"/>
    <w:rsid w:val="00CC237C"/>
    <w:rsid w:val="00CC2A3A"/>
    <w:rsid w:val="00CC39BD"/>
    <w:rsid w:val="00CC4930"/>
    <w:rsid w:val="00CC4A9D"/>
    <w:rsid w:val="00CC5AC5"/>
    <w:rsid w:val="00CC5E3C"/>
    <w:rsid w:val="00CC6C21"/>
    <w:rsid w:val="00CC77CC"/>
    <w:rsid w:val="00CD1E5C"/>
    <w:rsid w:val="00CD2062"/>
    <w:rsid w:val="00CD2D4F"/>
    <w:rsid w:val="00CD4824"/>
    <w:rsid w:val="00CD49D6"/>
    <w:rsid w:val="00CD4A64"/>
    <w:rsid w:val="00CD4CAA"/>
    <w:rsid w:val="00CD53AA"/>
    <w:rsid w:val="00CD552C"/>
    <w:rsid w:val="00CD7640"/>
    <w:rsid w:val="00CE12A6"/>
    <w:rsid w:val="00CE170E"/>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FCE"/>
    <w:rsid w:val="00D1350B"/>
    <w:rsid w:val="00D13594"/>
    <w:rsid w:val="00D1373A"/>
    <w:rsid w:val="00D13939"/>
    <w:rsid w:val="00D13952"/>
    <w:rsid w:val="00D13E17"/>
    <w:rsid w:val="00D14759"/>
    <w:rsid w:val="00D15155"/>
    <w:rsid w:val="00D157DD"/>
    <w:rsid w:val="00D16EA4"/>
    <w:rsid w:val="00D205F6"/>
    <w:rsid w:val="00D22A4D"/>
    <w:rsid w:val="00D22E6E"/>
    <w:rsid w:val="00D23739"/>
    <w:rsid w:val="00D2461C"/>
    <w:rsid w:val="00D25F61"/>
    <w:rsid w:val="00D2668D"/>
    <w:rsid w:val="00D27208"/>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DB1"/>
    <w:rsid w:val="00D40056"/>
    <w:rsid w:val="00D40A74"/>
    <w:rsid w:val="00D40EAD"/>
    <w:rsid w:val="00D41119"/>
    <w:rsid w:val="00D41B30"/>
    <w:rsid w:val="00D4245B"/>
    <w:rsid w:val="00D42513"/>
    <w:rsid w:val="00D4335E"/>
    <w:rsid w:val="00D4443C"/>
    <w:rsid w:val="00D45430"/>
    <w:rsid w:val="00D4590D"/>
    <w:rsid w:val="00D47191"/>
    <w:rsid w:val="00D5014A"/>
    <w:rsid w:val="00D51115"/>
    <w:rsid w:val="00D52550"/>
    <w:rsid w:val="00D55839"/>
    <w:rsid w:val="00D55C9D"/>
    <w:rsid w:val="00D57CDE"/>
    <w:rsid w:val="00D604E1"/>
    <w:rsid w:val="00D60D6C"/>
    <w:rsid w:val="00D60D7C"/>
    <w:rsid w:val="00D616FC"/>
    <w:rsid w:val="00D6225D"/>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76F4F"/>
    <w:rsid w:val="00D7744C"/>
    <w:rsid w:val="00D77804"/>
    <w:rsid w:val="00D80253"/>
    <w:rsid w:val="00D808C0"/>
    <w:rsid w:val="00D81296"/>
    <w:rsid w:val="00D81E6E"/>
    <w:rsid w:val="00D823F6"/>
    <w:rsid w:val="00D82C47"/>
    <w:rsid w:val="00D82D0F"/>
    <w:rsid w:val="00D838DB"/>
    <w:rsid w:val="00D84F9D"/>
    <w:rsid w:val="00D85BC1"/>
    <w:rsid w:val="00D85CDB"/>
    <w:rsid w:val="00D861AF"/>
    <w:rsid w:val="00D86669"/>
    <w:rsid w:val="00D86F5C"/>
    <w:rsid w:val="00D90277"/>
    <w:rsid w:val="00D918DA"/>
    <w:rsid w:val="00D93444"/>
    <w:rsid w:val="00D93E2D"/>
    <w:rsid w:val="00D95F7E"/>
    <w:rsid w:val="00D96169"/>
    <w:rsid w:val="00D96719"/>
    <w:rsid w:val="00D96B2A"/>
    <w:rsid w:val="00DA056E"/>
    <w:rsid w:val="00DA0CB2"/>
    <w:rsid w:val="00DA1C32"/>
    <w:rsid w:val="00DA1F25"/>
    <w:rsid w:val="00DA22BE"/>
    <w:rsid w:val="00DA40B8"/>
    <w:rsid w:val="00DA4487"/>
    <w:rsid w:val="00DA4981"/>
    <w:rsid w:val="00DA4E45"/>
    <w:rsid w:val="00DA5473"/>
    <w:rsid w:val="00DA5BBD"/>
    <w:rsid w:val="00DA5BCE"/>
    <w:rsid w:val="00DA6EEA"/>
    <w:rsid w:val="00DA70AE"/>
    <w:rsid w:val="00DA7D70"/>
    <w:rsid w:val="00DA7DA7"/>
    <w:rsid w:val="00DB004F"/>
    <w:rsid w:val="00DB01CF"/>
    <w:rsid w:val="00DB052F"/>
    <w:rsid w:val="00DB53E5"/>
    <w:rsid w:val="00DB6DB2"/>
    <w:rsid w:val="00DB7351"/>
    <w:rsid w:val="00DB7F86"/>
    <w:rsid w:val="00DC0CD9"/>
    <w:rsid w:val="00DC1C0E"/>
    <w:rsid w:val="00DC1C72"/>
    <w:rsid w:val="00DC2545"/>
    <w:rsid w:val="00DC258D"/>
    <w:rsid w:val="00DC35D1"/>
    <w:rsid w:val="00DC3A78"/>
    <w:rsid w:val="00DC41C9"/>
    <w:rsid w:val="00DC461B"/>
    <w:rsid w:val="00DC5397"/>
    <w:rsid w:val="00DC5933"/>
    <w:rsid w:val="00DC6204"/>
    <w:rsid w:val="00DC6844"/>
    <w:rsid w:val="00DC688A"/>
    <w:rsid w:val="00DC68AC"/>
    <w:rsid w:val="00DC7BD3"/>
    <w:rsid w:val="00DD0889"/>
    <w:rsid w:val="00DD1371"/>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11B9"/>
    <w:rsid w:val="00DF3467"/>
    <w:rsid w:val="00DF3A74"/>
    <w:rsid w:val="00DF432F"/>
    <w:rsid w:val="00DF4F8B"/>
    <w:rsid w:val="00DF537F"/>
    <w:rsid w:val="00DF5395"/>
    <w:rsid w:val="00DF56C2"/>
    <w:rsid w:val="00DF5D4B"/>
    <w:rsid w:val="00DF682A"/>
    <w:rsid w:val="00DF7478"/>
    <w:rsid w:val="00E00039"/>
    <w:rsid w:val="00E0161B"/>
    <w:rsid w:val="00E018BC"/>
    <w:rsid w:val="00E037FC"/>
    <w:rsid w:val="00E03879"/>
    <w:rsid w:val="00E044D2"/>
    <w:rsid w:val="00E05A89"/>
    <w:rsid w:val="00E060FC"/>
    <w:rsid w:val="00E06D98"/>
    <w:rsid w:val="00E072AD"/>
    <w:rsid w:val="00E100AC"/>
    <w:rsid w:val="00E1032E"/>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3F4D"/>
    <w:rsid w:val="00E3451D"/>
    <w:rsid w:val="00E35751"/>
    <w:rsid w:val="00E37592"/>
    <w:rsid w:val="00E41630"/>
    <w:rsid w:val="00E41817"/>
    <w:rsid w:val="00E42670"/>
    <w:rsid w:val="00E42841"/>
    <w:rsid w:val="00E42C3E"/>
    <w:rsid w:val="00E436BE"/>
    <w:rsid w:val="00E44F98"/>
    <w:rsid w:val="00E457F1"/>
    <w:rsid w:val="00E473DA"/>
    <w:rsid w:val="00E47AE7"/>
    <w:rsid w:val="00E50D64"/>
    <w:rsid w:val="00E512B8"/>
    <w:rsid w:val="00E51A28"/>
    <w:rsid w:val="00E5295B"/>
    <w:rsid w:val="00E5374F"/>
    <w:rsid w:val="00E5400D"/>
    <w:rsid w:val="00E550F1"/>
    <w:rsid w:val="00E554CD"/>
    <w:rsid w:val="00E55F16"/>
    <w:rsid w:val="00E55FBF"/>
    <w:rsid w:val="00E5645A"/>
    <w:rsid w:val="00E56578"/>
    <w:rsid w:val="00E56BB1"/>
    <w:rsid w:val="00E57666"/>
    <w:rsid w:val="00E57EAA"/>
    <w:rsid w:val="00E608FB"/>
    <w:rsid w:val="00E609DE"/>
    <w:rsid w:val="00E61087"/>
    <w:rsid w:val="00E6111F"/>
    <w:rsid w:val="00E61B87"/>
    <w:rsid w:val="00E62181"/>
    <w:rsid w:val="00E62CF1"/>
    <w:rsid w:val="00E62FAB"/>
    <w:rsid w:val="00E63B8E"/>
    <w:rsid w:val="00E63BF1"/>
    <w:rsid w:val="00E64B79"/>
    <w:rsid w:val="00E64CE0"/>
    <w:rsid w:val="00E64E2A"/>
    <w:rsid w:val="00E65810"/>
    <w:rsid w:val="00E65DB3"/>
    <w:rsid w:val="00E66608"/>
    <w:rsid w:val="00E66AD3"/>
    <w:rsid w:val="00E66F26"/>
    <w:rsid w:val="00E670E7"/>
    <w:rsid w:val="00E67246"/>
    <w:rsid w:val="00E67B41"/>
    <w:rsid w:val="00E7070C"/>
    <w:rsid w:val="00E71BEA"/>
    <w:rsid w:val="00E71E5C"/>
    <w:rsid w:val="00E725E1"/>
    <w:rsid w:val="00E72793"/>
    <w:rsid w:val="00E74367"/>
    <w:rsid w:val="00E7456E"/>
    <w:rsid w:val="00E749D1"/>
    <w:rsid w:val="00E74E41"/>
    <w:rsid w:val="00E750CA"/>
    <w:rsid w:val="00E750FE"/>
    <w:rsid w:val="00E75DAB"/>
    <w:rsid w:val="00E76C48"/>
    <w:rsid w:val="00E7796D"/>
    <w:rsid w:val="00E77BAE"/>
    <w:rsid w:val="00E804D8"/>
    <w:rsid w:val="00E8056E"/>
    <w:rsid w:val="00E8176F"/>
    <w:rsid w:val="00E81F73"/>
    <w:rsid w:val="00E8273E"/>
    <w:rsid w:val="00E84FB5"/>
    <w:rsid w:val="00E859FF"/>
    <w:rsid w:val="00E85D7E"/>
    <w:rsid w:val="00E8609A"/>
    <w:rsid w:val="00E87390"/>
    <w:rsid w:val="00E87B3E"/>
    <w:rsid w:val="00E90124"/>
    <w:rsid w:val="00E9122F"/>
    <w:rsid w:val="00E91AE5"/>
    <w:rsid w:val="00E93657"/>
    <w:rsid w:val="00E9733D"/>
    <w:rsid w:val="00EA080C"/>
    <w:rsid w:val="00EA0F13"/>
    <w:rsid w:val="00EA18AD"/>
    <w:rsid w:val="00EA22F2"/>
    <w:rsid w:val="00EA2351"/>
    <w:rsid w:val="00EA2F04"/>
    <w:rsid w:val="00EA316B"/>
    <w:rsid w:val="00EA486A"/>
    <w:rsid w:val="00EA4DA3"/>
    <w:rsid w:val="00EA4EC1"/>
    <w:rsid w:val="00EA4F50"/>
    <w:rsid w:val="00EA558A"/>
    <w:rsid w:val="00EA740D"/>
    <w:rsid w:val="00EA7A27"/>
    <w:rsid w:val="00EA7BCC"/>
    <w:rsid w:val="00EA7E4B"/>
    <w:rsid w:val="00EB0C75"/>
    <w:rsid w:val="00EB1866"/>
    <w:rsid w:val="00EB1D0B"/>
    <w:rsid w:val="00EB1D3D"/>
    <w:rsid w:val="00EB1F35"/>
    <w:rsid w:val="00EB22B2"/>
    <w:rsid w:val="00EB2FD5"/>
    <w:rsid w:val="00EB4707"/>
    <w:rsid w:val="00EB4C6B"/>
    <w:rsid w:val="00EB6123"/>
    <w:rsid w:val="00EB6C7E"/>
    <w:rsid w:val="00EB7DF6"/>
    <w:rsid w:val="00EC0905"/>
    <w:rsid w:val="00EC0DBB"/>
    <w:rsid w:val="00EC2BCA"/>
    <w:rsid w:val="00EC44BD"/>
    <w:rsid w:val="00EC4D56"/>
    <w:rsid w:val="00EC6A10"/>
    <w:rsid w:val="00ED1CED"/>
    <w:rsid w:val="00ED2A6B"/>
    <w:rsid w:val="00ED3089"/>
    <w:rsid w:val="00ED3236"/>
    <w:rsid w:val="00ED32C8"/>
    <w:rsid w:val="00ED3ACC"/>
    <w:rsid w:val="00ED3DD0"/>
    <w:rsid w:val="00ED4AD5"/>
    <w:rsid w:val="00ED4BA7"/>
    <w:rsid w:val="00ED56F8"/>
    <w:rsid w:val="00ED5BBF"/>
    <w:rsid w:val="00ED6875"/>
    <w:rsid w:val="00ED6F50"/>
    <w:rsid w:val="00EE032B"/>
    <w:rsid w:val="00EE0F6B"/>
    <w:rsid w:val="00EE2565"/>
    <w:rsid w:val="00EE33B1"/>
    <w:rsid w:val="00EE509A"/>
    <w:rsid w:val="00EE5827"/>
    <w:rsid w:val="00EE6A18"/>
    <w:rsid w:val="00EE6FCC"/>
    <w:rsid w:val="00EE7BEB"/>
    <w:rsid w:val="00EE7CC7"/>
    <w:rsid w:val="00EF13E0"/>
    <w:rsid w:val="00EF1D02"/>
    <w:rsid w:val="00EF2415"/>
    <w:rsid w:val="00EF2B54"/>
    <w:rsid w:val="00EF2D2A"/>
    <w:rsid w:val="00EF2E67"/>
    <w:rsid w:val="00EF3A0A"/>
    <w:rsid w:val="00EF3DA2"/>
    <w:rsid w:val="00EF45FB"/>
    <w:rsid w:val="00EF493B"/>
    <w:rsid w:val="00EF5FA8"/>
    <w:rsid w:val="00EF647B"/>
    <w:rsid w:val="00EF71C0"/>
    <w:rsid w:val="00EF74D0"/>
    <w:rsid w:val="00EF770E"/>
    <w:rsid w:val="00EF7D99"/>
    <w:rsid w:val="00EF7F30"/>
    <w:rsid w:val="00F0084B"/>
    <w:rsid w:val="00F00B64"/>
    <w:rsid w:val="00F011C2"/>
    <w:rsid w:val="00F01E06"/>
    <w:rsid w:val="00F02436"/>
    <w:rsid w:val="00F03781"/>
    <w:rsid w:val="00F03B53"/>
    <w:rsid w:val="00F05282"/>
    <w:rsid w:val="00F05E79"/>
    <w:rsid w:val="00F06F0B"/>
    <w:rsid w:val="00F071BB"/>
    <w:rsid w:val="00F108F8"/>
    <w:rsid w:val="00F109C2"/>
    <w:rsid w:val="00F10CDB"/>
    <w:rsid w:val="00F10DBD"/>
    <w:rsid w:val="00F12B4C"/>
    <w:rsid w:val="00F137BB"/>
    <w:rsid w:val="00F139B4"/>
    <w:rsid w:val="00F14031"/>
    <w:rsid w:val="00F14B39"/>
    <w:rsid w:val="00F14F72"/>
    <w:rsid w:val="00F16606"/>
    <w:rsid w:val="00F167FF"/>
    <w:rsid w:val="00F16BF6"/>
    <w:rsid w:val="00F241BD"/>
    <w:rsid w:val="00F262BA"/>
    <w:rsid w:val="00F26C7D"/>
    <w:rsid w:val="00F26CAF"/>
    <w:rsid w:val="00F272B2"/>
    <w:rsid w:val="00F27A43"/>
    <w:rsid w:val="00F27D98"/>
    <w:rsid w:val="00F305D7"/>
    <w:rsid w:val="00F30EB3"/>
    <w:rsid w:val="00F31737"/>
    <w:rsid w:val="00F31771"/>
    <w:rsid w:val="00F318FE"/>
    <w:rsid w:val="00F34BF4"/>
    <w:rsid w:val="00F35EE9"/>
    <w:rsid w:val="00F3723D"/>
    <w:rsid w:val="00F40269"/>
    <w:rsid w:val="00F41403"/>
    <w:rsid w:val="00F42027"/>
    <w:rsid w:val="00F438DD"/>
    <w:rsid w:val="00F45B4D"/>
    <w:rsid w:val="00F45DB6"/>
    <w:rsid w:val="00F45F65"/>
    <w:rsid w:val="00F463A7"/>
    <w:rsid w:val="00F46F5E"/>
    <w:rsid w:val="00F5026C"/>
    <w:rsid w:val="00F50DE6"/>
    <w:rsid w:val="00F52624"/>
    <w:rsid w:val="00F529AB"/>
    <w:rsid w:val="00F5384F"/>
    <w:rsid w:val="00F54AFD"/>
    <w:rsid w:val="00F54B27"/>
    <w:rsid w:val="00F57A55"/>
    <w:rsid w:val="00F57CB6"/>
    <w:rsid w:val="00F60120"/>
    <w:rsid w:val="00F60F00"/>
    <w:rsid w:val="00F61D70"/>
    <w:rsid w:val="00F62006"/>
    <w:rsid w:val="00F62F2E"/>
    <w:rsid w:val="00F640D7"/>
    <w:rsid w:val="00F6528F"/>
    <w:rsid w:val="00F65EBA"/>
    <w:rsid w:val="00F66C72"/>
    <w:rsid w:val="00F66FFF"/>
    <w:rsid w:val="00F67073"/>
    <w:rsid w:val="00F675FF"/>
    <w:rsid w:val="00F7060F"/>
    <w:rsid w:val="00F70F81"/>
    <w:rsid w:val="00F7156D"/>
    <w:rsid w:val="00F74368"/>
    <w:rsid w:val="00F746C1"/>
    <w:rsid w:val="00F76D43"/>
    <w:rsid w:val="00F77319"/>
    <w:rsid w:val="00F77628"/>
    <w:rsid w:val="00F80BD5"/>
    <w:rsid w:val="00F80D66"/>
    <w:rsid w:val="00F80EE7"/>
    <w:rsid w:val="00F81B8F"/>
    <w:rsid w:val="00F81DFD"/>
    <w:rsid w:val="00F82537"/>
    <w:rsid w:val="00F838A3"/>
    <w:rsid w:val="00F83C45"/>
    <w:rsid w:val="00F83CA5"/>
    <w:rsid w:val="00F8414B"/>
    <w:rsid w:val="00F84379"/>
    <w:rsid w:val="00F849EE"/>
    <w:rsid w:val="00F85EC8"/>
    <w:rsid w:val="00F86337"/>
    <w:rsid w:val="00F87324"/>
    <w:rsid w:val="00F90F30"/>
    <w:rsid w:val="00F928C0"/>
    <w:rsid w:val="00F92980"/>
    <w:rsid w:val="00F93922"/>
    <w:rsid w:val="00F94EEC"/>
    <w:rsid w:val="00F95994"/>
    <w:rsid w:val="00F962AA"/>
    <w:rsid w:val="00F96607"/>
    <w:rsid w:val="00F96893"/>
    <w:rsid w:val="00FA05D4"/>
    <w:rsid w:val="00FA0851"/>
    <w:rsid w:val="00FA0B3D"/>
    <w:rsid w:val="00FA0FE3"/>
    <w:rsid w:val="00FA1D4C"/>
    <w:rsid w:val="00FA2514"/>
    <w:rsid w:val="00FA2A5F"/>
    <w:rsid w:val="00FA3D92"/>
    <w:rsid w:val="00FA4C81"/>
    <w:rsid w:val="00FA52EA"/>
    <w:rsid w:val="00FA5F74"/>
    <w:rsid w:val="00FA6C05"/>
    <w:rsid w:val="00FA6D87"/>
    <w:rsid w:val="00FB0F04"/>
    <w:rsid w:val="00FB25E7"/>
    <w:rsid w:val="00FB28DA"/>
    <w:rsid w:val="00FB3ADF"/>
    <w:rsid w:val="00FB3F0D"/>
    <w:rsid w:val="00FB45E4"/>
    <w:rsid w:val="00FB4ABE"/>
    <w:rsid w:val="00FB712E"/>
    <w:rsid w:val="00FB7253"/>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3776"/>
    <w:rsid w:val="00FD4319"/>
    <w:rsid w:val="00FD4FC3"/>
    <w:rsid w:val="00FD5E15"/>
    <w:rsid w:val="00FD6448"/>
    <w:rsid w:val="00FE107E"/>
    <w:rsid w:val="00FE20D5"/>
    <w:rsid w:val="00FE3149"/>
    <w:rsid w:val="00FE416D"/>
    <w:rsid w:val="00FE4A05"/>
    <w:rsid w:val="00FE5D8E"/>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78D1FE7D-07F7-46D8-AB28-64D20DB2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DD9-7616-49BF-BF69-806E31D4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5380</Words>
  <Characters>29592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34903</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SFINANZAS</dc:creator>
  <cp:lastModifiedBy>Sandra.Mota</cp:lastModifiedBy>
  <cp:revision>32</cp:revision>
  <cp:lastPrinted>2022-01-04T23:51:00Z</cp:lastPrinted>
  <dcterms:created xsi:type="dcterms:W3CDTF">2022-01-04T22:18:00Z</dcterms:created>
  <dcterms:modified xsi:type="dcterms:W3CDTF">2022-01-04T23:54:00Z</dcterms:modified>
</cp:coreProperties>
</file>