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84B3F" w14:textId="77777777" w:rsidR="00273C26" w:rsidRPr="00214D4D" w:rsidRDefault="00273C26">
      <w:pPr>
        <w:jc w:val="center"/>
        <w:rPr>
          <w:b/>
          <w:color w:val="7F7F7F" w:themeColor="text1" w:themeTint="80"/>
        </w:rPr>
      </w:pPr>
    </w:p>
    <w:p w14:paraId="2F1B6FF4" w14:textId="77777777" w:rsidR="00273C26" w:rsidRDefault="00691E5E">
      <w:pPr>
        <w:spacing w:line="360" w:lineRule="auto"/>
        <w:jc w:val="both"/>
      </w:pPr>
      <w:r>
        <w:t xml:space="preserve">En </w:t>
      </w:r>
      <w:r>
        <w:rPr>
          <w:b/>
        </w:rPr>
        <w:t xml:space="preserve">la Primera Evaluación Vinculante 2019 respecto del ejercicio 2018, </w:t>
      </w:r>
      <w:r>
        <w:t xml:space="preserve">realizada por Instituto de Transparencia, Acceso a la Información Pública, Protección de Datos Personales y Rendición de Cuentas de la Ciudad de México (INFO),  los </w:t>
      </w:r>
      <w:r>
        <w:rPr>
          <w:b/>
        </w:rPr>
        <w:t>sujetos obligados de la Ciudad de México</w:t>
      </w:r>
      <w:r>
        <w:t xml:space="preserve"> cumplieron, en promedio, con </w:t>
      </w:r>
      <w:r>
        <w:rPr>
          <w:b/>
        </w:rPr>
        <w:t xml:space="preserve">66.44 por ciento </w:t>
      </w:r>
      <w:r>
        <w:t>de las obligaciones de transparencia que por Ley deben publicar en la  Plataforma Nacional de Transparencia (PNT) y sus Portales de Internet.</w:t>
      </w:r>
    </w:p>
    <w:p w14:paraId="4AA2A2BB" w14:textId="77777777" w:rsidR="00273C26" w:rsidRDefault="00273C26">
      <w:pPr>
        <w:spacing w:line="360" w:lineRule="auto"/>
        <w:jc w:val="both"/>
      </w:pPr>
    </w:p>
    <w:p w14:paraId="5C49B786" w14:textId="77777777" w:rsidR="00273C26" w:rsidRDefault="00691E5E">
      <w:pPr>
        <w:spacing w:line="360" w:lineRule="auto"/>
        <w:jc w:val="both"/>
        <w:rPr>
          <w:b/>
        </w:rPr>
      </w:pPr>
      <w:r>
        <w:t xml:space="preserve">La </w:t>
      </w:r>
      <w:r>
        <w:rPr>
          <w:b/>
        </w:rPr>
        <w:t xml:space="preserve">Dirección de Estado Abierto, Estudios y Evaluación (DEAEE), </w:t>
      </w:r>
      <w:r>
        <w:t xml:space="preserve">en el ámbito de sus atribuciones, realizó este primer ejercicio de manera </w:t>
      </w:r>
      <w:r>
        <w:rPr>
          <w:b/>
        </w:rPr>
        <w:t xml:space="preserve">censal </w:t>
      </w:r>
      <w:r>
        <w:t>revisó</w:t>
      </w:r>
      <w:r>
        <w:rPr>
          <w:b/>
        </w:rPr>
        <w:t xml:space="preserve"> </w:t>
      </w:r>
      <w:r>
        <w:t xml:space="preserve">la </w:t>
      </w:r>
      <w:r>
        <w:rPr>
          <w:b/>
        </w:rPr>
        <w:t>totalidad de los sujetos obligados (146)</w:t>
      </w:r>
      <w:r>
        <w:t xml:space="preserve"> del Padrón, vigente al 31 de diciembre de 2018 (al margen de existir o no actualizaciones posteriores). La evaluación permite </w:t>
      </w:r>
      <w:r>
        <w:rPr>
          <w:b/>
        </w:rPr>
        <w:t>identificar fortalezas y áreas de mejora, como insumo para el diseño puntual de estrategias que permita  al INFO, así como a cada sujeto obligado, tomar acciones para avanzar en el cumplimiento del piso mínimo que la Ley local de Transparencia establece.</w:t>
      </w:r>
    </w:p>
    <w:p w14:paraId="1312767C" w14:textId="77777777" w:rsidR="00273C26" w:rsidRDefault="00273C26">
      <w:pPr>
        <w:spacing w:line="360" w:lineRule="auto"/>
        <w:jc w:val="both"/>
        <w:rPr>
          <w:b/>
        </w:rPr>
      </w:pPr>
    </w:p>
    <w:p w14:paraId="46582E9D" w14:textId="77777777" w:rsidR="00273C26" w:rsidRDefault="00691E5E">
      <w:pPr>
        <w:spacing w:line="360" w:lineRule="auto"/>
        <w:jc w:val="both"/>
      </w:pPr>
      <w:r>
        <w:t xml:space="preserve">La metodología  de la Evaluación se compone por el </w:t>
      </w:r>
      <w:r>
        <w:rPr>
          <w:b/>
        </w:rPr>
        <w:t>Índice General de Cumplimiento de Obligaciones de Transparencia (IGOT)</w:t>
      </w:r>
      <w:r>
        <w:t xml:space="preserve">, el cual contiene el resultado numérico de la evaluación correspondiente. Dicho índice se construye al sumar el </w:t>
      </w:r>
      <w:r>
        <w:rPr>
          <w:b/>
        </w:rPr>
        <w:t>Índice de Cumplimiento de Obligaciones de Transparencia del Portal de Internet (ICOT-PT) y el de la Plataforma Nacional de Transparencia (ICOT-PNT)</w:t>
      </w:r>
      <w:r>
        <w:t xml:space="preserve">. En específico, tanto el ICOT-PT como el ICOT-PNT se integran con los resultados de la evaluación del cumplimiento de las </w:t>
      </w:r>
      <w:r>
        <w:rPr>
          <w:b/>
        </w:rPr>
        <w:t>obligaciones comunes</w:t>
      </w:r>
      <w:r>
        <w:t xml:space="preserve"> referidas en los artículos 121 y 122; las </w:t>
      </w:r>
      <w:r>
        <w:rPr>
          <w:b/>
        </w:rPr>
        <w:t>obligaciones específicas</w:t>
      </w:r>
      <w:r>
        <w:t xml:space="preserve"> consistentes en los artículos 123 al 140, y las </w:t>
      </w:r>
      <w:r>
        <w:rPr>
          <w:b/>
        </w:rPr>
        <w:t>disposiciones particulares</w:t>
      </w:r>
      <w:r>
        <w:t xml:space="preserve"> contempladas en los artículos 143 al 147, todos de la Ley de Transparencia local.</w:t>
      </w:r>
    </w:p>
    <w:p w14:paraId="40012662" w14:textId="77777777" w:rsidR="00273C26" w:rsidRDefault="00273C26">
      <w:pPr>
        <w:spacing w:line="360" w:lineRule="auto"/>
        <w:jc w:val="both"/>
      </w:pPr>
    </w:p>
    <w:p w14:paraId="072A6648" w14:textId="77777777" w:rsidR="00273C26" w:rsidRDefault="00691E5E">
      <w:pPr>
        <w:spacing w:line="360" w:lineRule="auto"/>
        <w:jc w:val="both"/>
        <w:rPr>
          <w:b/>
        </w:rPr>
      </w:pPr>
      <w:r>
        <w:rPr>
          <w:b/>
        </w:rPr>
        <w:t>RESULTADOS</w:t>
      </w:r>
    </w:p>
    <w:p w14:paraId="00A2821F" w14:textId="77777777" w:rsidR="00273C26" w:rsidRDefault="00691E5E">
      <w:pPr>
        <w:spacing w:line="360" w:lineRule="auto"/>
        <w:jc w:val="both"/>
      </w:pPr>
      <w:r>
        <w:rPr>
          <w:b/>
        </w:rPr>
        <w:t>Siete sujetos obligados</w:t>
      </w:r>
      <w:r>
        <w:t xml:space="preserve"> cumplieron</w:t>
      </w:r>
      <w:r>
        <w:rPr>
          <w:b/>
        </w:rPr>
        <w:t xml:space="preserve"> cabalmente </w:t>
      </w:r>
      <w:r>
        <w:t xml:space="preserve">con las obligaciones evaluadas, mientras que </w:t>
      </w:r>
      <w:r>
        <w:rPr>
          <w:b/>
        </w:rPr>
        <w:t>139 sujetos obligados no tuvieron un cumplimiento total</w:t>
      </w:r>
      <w:r>
        <w:t xml:space="preserve"> de las disposiciones mínimas establecidas en la Ley de Transparencia Local.</w:t>
      </w:r>
    </w:p>
    <w:p w14:paraId="756687F2" w14:textId="77777777" w:rsidR="00273C26" w:rsidRDefault="00691E5E">
      <w:pPr>
        <w:spacing w:line="360" w:lineRule="auto"/>
        <w:jc w:val="both"/>
      </w:pPr>
      <w:r>
        <w:t xml:space="preserve"> </w:t>
      </w:r>
    </w:p>
    <w:p w14:paraId="797A40F4" w14:textId="77777777" w:rsidR="00273C26" w:rsidRDefault="00691E5E">
      <w:pPr>
        <w:spacing w:line="360" w:lineRule="auto"/>
        <w:jc w:val="both"/>
      </w:pPr>
      <w:r>
        <w:t xml:space="preserve">Los resultados del IGOT permiten establecer cuatro categorías de cumplimiento: Existe un nivel de </w:t>
      </w:r>
      <w:r>
        <w:rPr>
          <w:b/>
        </w:rPr>
        <w:t>incumplimiento total</w:t>
      </w:r>
      <w:r>
        <w:t xml:space="preserve"> al obtener cero puntos, </w:t>
      </w:r>
      <w:r>
        <w:rPr>
          <w:b/>
        </w:rPr>
        <w:t xml:space="preserve">incumplimiento parcial </w:t>
      </w:r>
      <w:r>
        <w:t xml:space="preserve">al alcanzar valores superiores a 0 puntos y de hasta 59.99 puntos; </w:t>
      </w:r>
      <w:r>
        <w:rPr>
          <w:b/>
        </w:rPr>
        <w:t>cumplimiento parcial</w:t>
      </w:r>
      <w:r>
        <w:t xml:space="preserve"> con valores iguales o superiores a 60 puntos y menores a 100 puntos, así como </w:t>
      </w:r>
      <w:r>
        <w:rPr>
          <w:b/>
        </w:rPr>
        <w:t xml:space="preserve">cumplimiento total </w:t>
      </w:r>
      <w:r>
        <w:t>si se registran los 100 puntos posibles.</w:t>
      </w:r>
    </w:p>
    <w:p w14:paraId="621AC78D" w14:textId="77777777" w:rsidR="00273C26" w:rsidRDefault="00273C26">
      <w:pPr>
        <w:spacing w:line="360" w:lineRule="auto"/>
        <w:jc w:val="both"/>
      </w:pPr>
    </w:p>
    <w:p w14:paraId="38665041" w14:textId="77777777" w:rsidR="00273C26" w:rsidRDefault="00691E5E">
      <w:pPr>
        <w:spacing w:line="360" w:lineRule="auto"/>
        <w:jc w:val="both"/>
      </w:pPr>
      <w:r>
        <w:t xml:space="preserve">En ese contexto, </w:t>
      </w:r>
      <w:r>
        <w:rPr>
          <w:b/>
        </w:rPr>
        <w:t>92 sujetos obligados</w:t>
      </w:r>
      <w:r>
        <w:t xml:space="preserve"> obtuvieron un </w:t>
      </w:r>
      <w:r>
        <w:rPr>
          <w:b/>
        </w:rPr>
        <w:t>cumplimiento parcial</w:t>
      </w:r>
      <w:r>
        <w:t xml:space="preserve"> en la evaluación. De ellos, 18 forman parte de la Administración Pública Centralizada, 49 pertenecen al ámbito de Organismos Desconcentrados, Descentralizados, Paraestatales y Auxiliares, nueve fueron Delegaciones Políticas, actuales Alcaldías, los dos sujetos obligados pertenecientes al Poder Legislativos y al Poder Judicial respectivamente, cinco Órganos Autónomos, cuatro Partidos Políticos y tres Sindicatos.</w:t>
      </w:r>
    </w:p>
    <w:p w14:paraId="482193E5" w14:textId="77777777" w:rsidR="00273C26" w:rsidRDefault="00273C26">
      <w:pPr>
        <w:spacing w:line="360" w:lineRule="auto"/>
        <w:jc w:val="both"/>
      </w:pPr>
    </w:p>
    <w:p w14:paraId="4B33A091" w14:textId="77777777" w:rsidR="00273C26" w:rsidRDefault="00691E5E">
      <w:pPr>
        <w:spacing w:line="360" w:lineRule="auto"/>
        <w:jc w:val="both"/>
        <w:rPr>
          <w:b/>
        </w:rPr>
      </w:pPr>
      <w:r>
        <w:t xml:space="preserve">Por otra parte, </w:t>
      </w:r>
      <w:r>
        <w:rPr>
          <w:b/>
        </w:rPr>
        <w:t xml:space="preserve">47 sujetos obligados se ubicaron en el rubro de incumplimiento parcial. </w:t>
      </w:r>
      <w:r>
        <w:t>De ellos, tres sujetos pertenecen a la Administración Pública Centralizada, 14 forman parte de los Organismos Desconcentrados, Descentralizados, Paraestatales y Auxiliares, siete integran el rubro de Delegaciones Políticas, actuales Alcaldías, uno Órgano Autónomo, cuatro Partidos Políticos y 18 Sindicatos. Finalmente, ningún</w:t>
      </w:r>
      <w:r>
        <w:rPr>
          <w:b/>
        </w:rPr>
        <w:t xml:space="preserve"> sujeto obligado registró nivel de incumplimiento total.</w:t>
      </w:r>
    </w:p>
    <w:p w14:paraId="16A3B57E" w14:textId="77777777" w:rsidR="00273C26" w:rsidRDefault="00273C26">
      <w:pPr>
        <w:spacing w:line="360" w:lineRule="auto"/>
        <w:jc w:val="both"/>
        <w:rPr>
          <w:b/>
        </w:rPr>
      </w:pPr>
    </w:p>
    <w:p w14:paraId="21765BF2" w14:textId="77777777" w:rsidR="00273C26" w:rsidRDefault="00691E5E">
      <w:pPr>
        <w:spacing w:line="360" w:lineRule="auto"/>
        <w:jc w:val="center"/>
        <w:rPr>
          <w:b/>
        </w:rPr>
      </w:pPr>
      <w:r>
        <w:rPr>
          <w:b/>
        </w:rPr>
        <w:t>Los resultados anteriormente expuestos se presentan en la siguiente tabla:</w:t>
      </w:r>
    </w:p>
    <w:p w14:paraId="1DA23915" w14:textId="113FF920" w:rsidR="00273C26" w:rsidRDefault="007365F5">
      <w:pPr>
        <w:spacing w:line="360" w:lineRule="auto"/>
        <w:jc w:val="both"/>
      </w:pPr>
      <w:r>
        <w:rPr>
          <w:noProof/>
        </w:rPr>
        <w:drawing>
          <wp:inline distT="0" distB="0" distL="0" distR="0" wp14:anchorId="29F8E19B" wp14:editId="6A73EC32">
            <wp:extent cx="5724525" cy="2686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E5E">
        <w:t xml:space="preserve"> </w:t>
      </w:r>
    </w:p>
    <w:p w14:paraId="2CEA79E4" w14:textId="77777777" w:rsidR="00976E73" w:rsidRDefault="00976E73">
      <w:pPr>
        <w:spacing w:line="360" w:lineRule="auto"/>
        <w:jc w:val="both"/>
      </w:pPr>
    </w:p>
    <w:p w14:paraId="1B103481" w14:textId="77777777" w:rsidR="00976E73" w:rsidRDefault="00976E73">
      <w:pPr>
        <w:spacing w:line="360" w:lineRule="auto"/>
        <w:jc w:val="both"/>
      </w:pPr>
    </w:p>
    <w:p w14:paraId="3B317E73" w14:textId="77777777" w:rsidR="00976E73" w:rsidRDefault="00976E73">
      <w:pPr>
        <w:spacing w:line="360" w:lineRule="auto"/>
        <w:jc w:val="both"/>
      </w:pPr>
    </w:p>
    <w:p w14:paraId="6E68F83A" w14:textId="77777777" w:rsidR="00976E73" w:rsidRDefault="00976E73">
      <w:pPr>
        <w:spacing w:line="360" w:lineRule="auto"/>
        <w:jc w:val="both"/>
      </w:pPr>
    </w:p>
    <w:p w14:paraId="61CCD3A8" w14:textId="77777777" w:rsidR="00976E73" w:rsidRDefault="00976E73">
      <w:pPr>
        <w:spacing w:line="360" w:lineRule="auto"/>
        <w:jc w:val="both"/>
      </w:pPr>
    </w:p>
    <w:p w14:paraId="0FBC84AC" w14:textId="77777777" w:rsidR="00976E73" w:rsidRDefault="00976E73">
      <w:pPr>
        <w:spacing w:line="360" w:lineRule="auto"/>
        <w:jc w:val="both"/>
      </w:pPr>
    </w:p>
    <w:p w14:paraId="342E95CE" w14:textId="77777777" w:rsidR="00976E73" w:rsidRDefault="00976E73">
      <w:pPr>
        <w:spacing w:line="360" w:lineRule="auto"/>
        <w:jc w:val="both"/>
      </w:pPr>
    </w:p>
    <w:p w14:paraId="7E03BDFE" w14:textId="77777777" w:rsidR="00976E73" w:rsidRDefault="00976E73">
      <w:pPr>
        <w:spacing w:line="360" w:lineRule="auto"/>
        <w:jc w:val="both"/>
      </w:pPr>
    </w:p>
    <w:p w14:paraId="5B2E7FF3" w14:textId="2871CC38" w:rsidR="00273C26" w:rsidRDefault="00976E73">
      <w:pPr>
        <w:spacing w:line="360" w:lineRule="auto"/>
        <w:jc w:val="both"/>
        <w:rPr>
          <w:noProof/>
        </w:rPr>
      </w:pPr>
      <w:r w:rsidRPr="00976E73">
        <w:t xml:space="preserve">Cuando se calcula el </w:t>
      </w:r>
      <w:r>
        <w:t>Í</w:t>
      </w:r>
      <w:r w:rsidRPr="00976E73">
        <w:t>ndice de</w:t>
      </w:r>
      <w:r>
        <w:t xml:space="preserve"> Cumplimiento</w:t>
      </w:r>
      <w:r w:rsidRPr="00976E73">
        <w:t xml:space="preserve"> </w:t>
      </w:r>
      <w:r>
        <w:t>Pr</w:t>
      </w:r>
      <w:r w:rsidRPr="00976E73">
        <w:t>omedio</w:t>
      </w:r>
      <w:r>
        <w:t xml:space="preserve"> (ICP)</w:t>
      </w:r>
      <w:r w:rsidRPr="00976E73">
        <w:t xml:space="preserve"> por Ámbito se observa que el Poder Judicial obtuvo, 96.4</w:t>
      </w:r>
      <w:r w:rsidR="00AB1862">
        <w:t xml:space="preserve">; </w:t>
      </w:r>
      <w:r w:rsidRPr="00976E73">
        <w:t>respecto de los Órganos Autónomos</w:t>
      </w:r>
      <w:r w:rsidR="00AB1862">
        <w:t xml:space="preserve">, </w:t>
      </w:r>
      <w:r w:rsidR="00AB1862" w:rsidRPr="00976E73">
        <w:t>86.15</w:t>
      </w:r>
      <w:r w:rsidR="00AB1862">
        <w:t xml:space="preserve">; </w:t>
      </w:r>
      <w:r w:rsidRPr="00976E73">
        <w:t>para la Administración Pública Central</w:t>
      </w:r>
      <w:r w:rsidR="00AB1862">
        <w:t xml:space="preserve">, </w:t>
      </w:r>
      <w:r w:rsidR="00AB1862" w:rsidRPr="00976E73">
        <w:t>80.13</w:t>
      </w:r>
      <w:r w:rsidR="00AB1862">
        <w:t>;</w:t>
      </w:r>
      <w:r w:rsidRPr="00976E73">
        <w:t xml:space="preserve"> para los Organismos Desconcentrados, Descentralizados, Paraestatales y Auxiliares</w:t>
      </w:r>
      <w:r w:rsidR="00AB1862">
        <w:t xml:space="preserve">, </w:t>
      </w:r>
      <w:r w:rsidR="00AB1862" w:rsidRPr="00976E73">
        <w:t>73.26</w:t>
      </w:r>
      <w:r w:rsidR="00AB1862">
        <w:t>;</w:t>
      </w:r>
      <w:r w:rsidRPr="00976E73">
        <w:t xml:space="preserve"> para los Partidos Políticos</w:t>
      </w:r>
      <w:r w:rsidR="00AB1862">
        <w:t xml:space="preserve">, </w:t>
      </w:r>
      <w:r w:rsidR="00AB1862" w:rsidRPr="00976E73">
        <w:t>64.89</w:t>
      </w:r>
      <w:r w:rsidRPr="00976E73">
        <w:t>, respecto del rubro de Demarcaciones Políticas</w:t>
      </w:r>
      <w:r w:rsidR="00AB1862">
        <w:t xml:space="preserve">, </w:t>
      </w:r>
      <w:r w:rsidR="00AB1862" w:rsidRPr="00976E73">
        <w:t>63.03</w:t>
      </w:r>
      <w:r w:rsidR="00AB1862">
        <w:t xml:space="preserve">; </w:t>
      </w:r>
      <w:r w:rsidRPr="00976E73">
        <w:t>sobre el Poder Legislativo</w:t>
      </w:r>
      <w:r w:rsidR="00AB1862">
        <w:t xml:space="preserve">, </w:t>
      </w:r>
      <w:r w:rsidR="00AB1862" w:rsidRPr="00976E73">
        <w:t>61.71</w:t>
      </w:r>
      <w:r w:rsidR="00AB1862">
        <w:t>;</w:t>
      </w:r>
      <w:r w:rsidRPr="00976E73">
        <w:t xml:space="preserve"> y respecto de los Sindicato</w:t>
      </w:r>
      <w:r w:rsidR="00AB1862">
        <w:t xml:space="preserve">s, </w:t>
      </w:r>
      <w:bookmarkStart w:id="0" w:name="_GoBack"/>
      <w:bookmarkEnd w:id="0"/>
      <w:r w:rsidR="00AB1862" w:rsidRPr="00976E73">
        <w:t xml:space="preserve">24.81 </w:t>
      </w:r>
    </w:p>
    <w:p w14:paraId="27B3A383" w14:textId="3AE2B6B8" w:rsidR="00AB1862" w:rsidRDefault="00AB1862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7ADC445C" wp14:editId="265235B2">
            <wp:extent cx="5734050" cy="36671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1C8F2" w14:textId="77777777" w:rsidR="00AB1862" w:rsidRDefault="00AB1862">
      <w:pPr>
        <w:spacing w:line="360" w:lineRule="auto"/>
        <w:jc w:val="both"/>
      </w:pPr>
    </w:p>
    <w:p w14:paraId="21EF84A4" w14:textId="26888E82" w:rsidR="00273C26" w:rsidRDefault="00691E5E">
      <w:pPr>
        <w:spacing w:line="360" w:lineRule="auto"/>
        <w:jc w:val="both"/>
      </w:pPr>
      <w:r>
        <w:t xml:space="preserve">Los resultados específicos de la evaluación realizada a cada sujeto se presentan a través de dictámenes en los cuales se le indica a cada uno de ellos un conjunto de </w:t>
      </w:r>
      <w:r>
        <w:rPr>
          <w:b/>
        </w:rPr>
        <w:t>recomendaciones vinculantes y observaciones; mismas que deben ser solventadas en un plazo no mayor a quince días hábiles</w:t>
      </w:r>
      <w:r>
        <w:t>, contados a partir de la notificación de su dictamen de evaluación. Concluido el plazo anterior, la DEAEE comenzará una nueva verificación de los portales institucionales y de la PNT, con el objetivo de comprobar si dichas recomendaciones se atienden o no.</w:t>
      </w:r>
    </w:p>
    <w:p w14:paraId="5FCFC6A6" w14:textId="4104BBB3" w:rsidR="00AB1862" w:rsidRDefault="00AB1862">
      <w:pPr>
        <w:spacing w:line="360" w:lineRule="auto"/>
        <w:jc w:val="both"/>
      </w:pPr>
    </w:p>
    <w:p w14:paraId="6DA1A35B" w14:textId="6D04D863" w:rsidR="00AB1862" w:rsidRDefault="00AB1862">
      <w:pPr>
        <w:spacing w:line="360" w:lineRule="auto"/>
        <w:jc w:val="both"/>
      </w:pPr>
    </w:p>
    <w:p w14:paraId="6DEE3164" w14:textId="77777777" w:rsidR="00AB1862" w:rsidRDefault="00AB1862">
      <w:pPr>
        <w:spacing w:line="360" w:lineRule="auto"/>
        <w:jc w:val="both"/>
      </w:pPr>
    </w:p>
    <w:p w14:paraId="7CC0489D" w14:textId="77777777" w:rsidR="00273C26" w:rsidRDefault="00273C26">
      <w:pPr>
        <w:spacing w:line="360" w:lineRule="auto"/>
        <w:jc w:val="both"/>
      </w:pPr>
    </w:p>
    <w:p w14:paraId="77AEA259" w14:textId="77777777" w:rsidR="00273C26" w:rsidRDefault="00691E5E">
      <w:pPr>
        <w:spacing w:line="360" w:lineRule="auto"/>
        <w:jc w:val="both"/>
      </w:pPr>
      <w:r>
        <w:lastRenderedPageBreak/>
        <w:t xml:space="preserve">Producto de esta primera evaluación censal, el INFO identificó las siguientes </w:t>
      </w:r>
      <w:r>
        <w:rPr>
          <w:b/>
        </w:rPr>
        <w:t>áreas de oportunidad</w:t>
      </w:r>
      <w:r>
        <w:t xml:space="preserve"> respecto a la publicación y actualización de las obligaciones de transparencia:</w:t>
      </w:r>
    </w:p>
    <w:p w14:paraId="01971F28" w14:textId="77777777" w:rsidR="00273C26" w:rsidRDefault="00273C26">
      <w:pPr>
        <w:spacing w:line="360" w:lineRule="auto"/>
        <w:jc w:val="both"/>
      </w:pPr>
    </w:p>
    <w:p w14:paraId="1D92E786" w14:textId="77777777" w:rsidR="00273C26" w:rsidRDefault="00691E5E">
      <w:pPr>
        <w:spacing w:line="360" w:lineRule="auto"/>
        <w:ind w:left="360"/>
        <w:jc w:val="both"/>
      </w:pPr>
      <w: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t>Los sujetos obligados deben actualizar la información, por lo menos, de manera trimestral.</w:t>
      </w:r>
    </w:p>
    <w:p w14:paraId="27C8B6AE" w14:textId="77777777" w:rsidR="00273C26" w:rsidRDefault="00691E5E">
      <w:pPr>
        <w:spacing w:line="360" w:lineRule="auto"/>
        <w:ind w:left="360"/>
        <w:jc w:val="both"/>
      </w:pPr>
      <w: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t>En el supuesto de no contar con la información, los sujetos obligados deberán explicar en las causas específicas que originaron la ausencia de la misma; así como, el procedimiento que están llevando a cabo para la generación o recuperación de la información.</w:t>
      </w:r>
    </w:p>
    <w:p w14:paraId="5A14FCA0" w14:textId="77777777" w:rsidR="00273C26" w:rsidRDefault="00691E5E">
      <w:pPr>
        <w:spacing w:line="360" w:lineRule="auto"/>
        <w:ind w:left="360"/>
        <w:jc w:val="both"/>
      </w:pPr>
      <w: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t>Los sujetos obligados deben publicar el calendario de actualización de las obligaciones de transparencia que les son aplicables.</w:t>
      </w:r>
    </w:p>
    <w:p w14:paraId="722C6C49" w14:textId="77777777" w:rsidR="00273C26" w:rsidRDefault="00691E5E">
      <w:pPr>
        <w:spacing w:line="360" w:lineRule="auto"/>
        <w:ind w:left="360"/>
        <w:jc w:val="both"/>
      </w:pPr>
      <w: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t>En buena parte de los casos revisados, la información provista en los accesos directos en los portales institucionales a la sección de transparencia no es accesible y la información provista no cumple con los criterios de datos abiertos.</w:t>
      </w:r>
    </w:p>
    <w:p w14:paraId="2D433318" w14:textId="77777777" w:rsidR="00273C26" w:rsidRDefault="00691E5E">
      <w:pPr>
        <w:spacing w:line="360" w:lineRule="auto"/>
        <w:ind w:left="360"/>
        <w:jc w:val="both"/>
      </w:pPr>
      <w: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t>Es frecuente que las ligas electrónicas no otorgan acceso específico a la información mencionada o no están en funcionamiento.</w:t>
      </w:r>
    </w:p>
    <w:p w14:paraId="060BDBE4" w14:textId="77777777" w:rsidR="00273C26" w:rsidRDefault="00273C26">
      <w:pPr>
        <w:spacing w:line="360" w:lineRule="auto"/>
        <w:ind w:left="360"/>
        <w:jc w:val="both"/>
      </w:pPr>
    </w:p>
    <w:p w14:paraId="0FFF67D6" w14:textId="77777777" w:rsidR="00273C26" w:rsidRDefault="00691E5E">
      <w:pPr>
        <w:spacing w:line="360" w:lineRule="auto"/>
        <w:jc w:val="both"/>
        <w:rPr>
          <w:b/>
        </w:rPr>
      </w:pPr>
      <w:r>
        <w:t xml:space="preserve">En ese sentido, el INFO emprenderá las siguientes </w:t>
      </w:r>
      <w:r>
        <w:rPr>
          <w:b/>
        </w:rPr>
        <w:t>líneas de acción:</w:t>
      </w:r>
    </w:p>
    <w:p w14:paraId="543F4473" w14:textId="77777777" w:rsidR="00273C26" w:rsidRDefault="00691E5E">
      <w:pPr>
        <w:numPr>
          <w:ilvl w:val="0"/>
          <w:numId w:val="1"/>
        </w:numPr>
        <w:spacing w:line="360" w:lineRule="auto"/>
      </w:pPr>
      <w:r>
        <w:t xml:space="preserve">  Continuará brindando a los sujetos obligados Asesorías Técnicas Especializadas sobre la publicación y actualización de las Obligaciones de Transparencia.</w:t>
      </w:r>
    </w:p>
    <w:p w14:paraId="1A31C31A" w14:textId="77777777" w:rsidR="00273C26" w:rsidRDefault="00691E5E">
      <w:pPr>
        <w:numPr>
          <w:ilvl w:val="0"/>
          <w:numId w:val="1"/>
        </w:numPr>
        <w:spacing w:line="360" w:lineRule="auto"/>
      </w:pPr>
      <w:r>
        <w:t xml:space="preserve">   Promoverá un análisis detenido detallado de los factores que hicieron posible este resultado para identificar buenas prácticas que existen en el trabajo a fin de  que otros sujetos obligados puedan alcanzar el mismo resultado en las evaluaciones futuras.</w:t>
      </w:r>
    </w:p>
    <w:p w14:paraId="02166F53" w14:textId="77777777" w:rsidR="00273C26" w:rsidRDefault="00691E5E">
      <w:pPr>
        <w:numPr>
          <w:ilvl w:val="0"/>
          <w:numId w:val="1"/>
        </w:numPr>
        <w:spacing w:line="360" w:lineRule="auto"/>
      </w:pPr>
      <w:r>
        <w:t>Se establecerán medidas específicas de seguimiento, orientación y acompañamiento para atender a los sujetos obligados que muestran los niveles de rezago más altos en el cumplimiento de sus obligaciones.</w:t>
      </w:r>
    </w:p>
    <w:sectPr w:rsidR="00273C26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422E2" w14:textId="77777777" w:rsidR="00232E44" w:rsidRDefault="00232E44">
      <w:pPr>
        <w:spacing w:line="240" w:lineRule="auto"/>
      </w:pPr>
      <w:r>
        <w:separator/>
      </w:r>
    </w:p>
  </w:endnote>
  <w:endnote w:type="continuationSeparator" w:id="0">
    <w:p w14:paraId="5324A521" w14:textId="77777777" w:rsidR="00232E44" w:rsidRDefault="00232E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842F9" w14:textId="77777777" w:rsidR="000F6899" w:rsidRDefault="000F6899">
    <w:pPr>
      <w:pStyle w:val="Piedepgina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8392643" wp14:editId="716604AE">
          <wp:simplePos x="0" y="0"/>
          <wp:positionH relativeFrom="column">
            <wp:posOffset>-922454</wp:posOffset>
          </wp:positionH>
          <wp:positionV relativeFrom="paragraph">
            <wp:posOffset>-271030</wp:posOffset>
          </wp:positionV>
          <wp:extent cx="7571535" cy="878892"/>
          <wp:effectExtent l="0" t="0" r="0" b="1016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t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535" cy="878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CF163" w14:textId="77777777" w:rsidR="00232E44" w:rsidRDefault="00232E44">
      <w:pPr>
        <w:spacing w:line="240" w:lineRule="auto"/>
      </w:pPr>
      <w:r>
        <w:separator/>
      </w:r>
    </w:p>
  </w:footnote>
  <w:footnote w:type="continuationSeparator" w:id="0">
    <w:p w14:paraId="299BCC4A" w14:textId="77777777" w:rsidR="00232E44" w:rsidRDefault="00232E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20387" w14:textId="71B30F89" w:rsidR="00F95309" w:rsidRPr="00F95309" w:rsidRDefault="00F95309" w:rsidP="00F95309">
    <w:pPr>
      <w:jc w:val="center"/>
      <w:rPr>
        <w:rFonts w:ascii="Helvetica" w:hAnsi="Helvetica"/>
        <w:b/>
      </w:rPr>
    </w:pPr>
    <w:r>
      <w:rPr>
        <w:b/>
        <w:noProof/>
        <w:lang w:val="en-US"/>
      </w:rPr>
      <w:drawing>
        <wp:anchor distT="0" distB="0" distL="114300" distR="114300" simplePos="0" relativeHeight="251658752" behindDoc="1" locked="0" layoutInCell="1" allowOverlap="1" wp14:anchorId="5E616B8A" wp14:editId="388F3D7C">
          <wp:simplePos x="0" y="0"/>
          <wp:positionH relativeFrom="column">
            <wp:posOffset>-904875</wp:posOffset>
          </wp:positionH>
          <wp:positionV relativeFrom="paragraph">
            <wp:posOffset>-457200</wp:posOffset>
          </wp:positionV>
          <wp:extent cx="8257897" cy="11811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nta_Cabez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0977" cy="11829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5309">
      <w:rPr>
        <w:rFonts w:ascii="Helvetica" w:hAnsi="Helvetica"/>
        <w:b/>
      </w:rPr>
      <w:t xml:space="preserve">1era Evaluación Vinculante 2019 respecto del ejercicio 2018 de las obligaciones de transparencia de los sujetos obligados </w:t>
    </w:r>
    <w:proofErr w:type="gramStart"/>
    <w:r w:rsidRPr="00F95309">
      <w:rPr>
        <w:rFonts w:ascii="Helvetica" w:hAnsi="Helvetica"/>
        <w:b/>
      </w:rPr>
      <w:t>en  la</w:t>
    </w:r>
    <w:proofErr w:type="gramEnd"/>
    <w:r w:rsidRPr="00F95309">
      <w:rPr>
        <w:rFonts w:ascii="Helvetica" w:hAnsi="Helvetica"/>
        <w:b/>
      </w:rPr>
      <w:t xml:space="preserve"> PNT y sus Portales de Internet</w:t>
    </w:r>
  </w:p>
  <w:p w14:paraId="179E9E7E" w14:textId="43D8DD6A" w:rsidR="00273C26" w:rsidRDefault="00273C26">
    <w:pPr>
      <w:jc w:val="right"/>
      <w:rPr>
        <w:b/>
      </w:rPr>
    </w:pPr>
  </w:p>
  <w:p w14:paraId="3B3302E4" w14:textId="77777777" w:rsidR="00273C26" w:rsidRDefault="00273C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414DD"/>
    <w:multiLevelType w:val="multilevel"/>
    <w:tmpl w:val="17FC5C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26"/>
    <w:rsid w:val="000F6899"/>
    <w:rsid w:val="001377D7"/>
    <w:rsid w:val="00214D4D"/>
    <w:rsid w:val="00232E44"/>
    <w:rsid w:val="00273C26"/>
    <w:rsid w:val="00691E5E"/>
    <w:rsid w:val="00731088"/>
    <w:rsid w:val="007365F5"/>
    <w:rsid w:val="007B46EF"/>
    <w:rsid w:val="00976E73"/>
    <w:rsid w:val="009C004E"/>
    <w:rsid w:val="00A61C9A"/>
    <w:rsid w:val="00AB1862"/>
    <w:rsid w:val="00C247FD"/>
    <w:rsid w:val="00C346E2"/>
    <w:rsid w:val="00C34D4A"/>
    <w:rsid w:val="00C61CB6"/>
    <w:rsid w:val="00F9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248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61C9A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1C9A"/>
  </w:style>
  <w:style w:type="paragraph" w:styleId="Piedepgina">
    <w:name w:val="footer"/>
    <w:basedOn w:val="Normal"/>
    <w:link w:val="PiedepginaCar"/>
    <w:uiPriority w:val="99"/>
    <w:unhideWhenUsed/>
    <w:rsid w:val="00A61C9A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1C9A"/>
  </w:style>
  <w:style w:type="paragraph" w:styleId="Textodeglobo">
    <w:name w:val="Balloon Text"/>
    <w:basedOn w:val="Normal"/>
    <w:link w:val="TextodegloboCar"/>
    <w:uiPriority w:val="99"/>
    <w:semiHidden/>
    <w:unhideWhenUsed/>
    <w:rsid w:val="00C61C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1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5262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</dc:creator>
  <cp:lastModifiedBy>GEMM</cp:lastModifiedBy>
  <cp:revision>2</cp:revision>
  <dcterms:created xsi:type="dcterms:W3CDTF">2019-08-07T06:19:00Z</dcterms:created>
  <dcterms:modified xsi:type="dcterms:W3CDTF">2019-08-07T06:19:00Z</dcterms:modified>
</cp:coreProperties>
</file>