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0F6E" w:rsidRPr="00CD728B" w:rsidRDefault="005A0F6E" w:rsidP="002E7D47">
      <w:pPr>
        <w:pStyle w:val="Ttulo1"/>
        <w:contextualSpacing/>
        <w:jc w:val="center"/>
        <w:rPr>
          <w:rFonts w:ascii="Arial Narrow" w:hAnsi="Arial Narrow"/>
          <w:b/>
          <w:color w:val="auto"/>
          <w:sz w:val="52"/>
          <w:szCs w:val="24"/>
        </w:rPr>
      </w:pPr>
      <w:bookmarkStart w:id="0" w:name="_Toc13068672"/>
    </w:p>
    <w:p w:rsidR="005A0F6E" w:rsidRPr="00CD728B" w:rsidRDefault="005A0F6E" w:rsidP="002E7D47">
      <w:pPr>
        <w:pStyle w:val="Ttulo1"/>
        <w:contextualSpacing/>
        <w:jc w:val="center"/>
        <w:rPr>
          <w:rFonts w:ascii="Arial Narrow" w:hAnsi="Arial Narrow"/>
          <w:b/>
          <w:color w:val="auto"/>
          <w:sz w:val="52"/>
          <w:szCs w:val="24"/>
        </w:rPr>
      </w:pPr>
    </w:p>
    <w:p w:rsidR="005A0F6E" w:rsidRPr="00CD728B" w:rsidRDefault="005A0F6E" w:rsidP="002E7D47">
      <w:pPr>
        <w:pStyle w:val="Ttulo1"/>
        <w:contextualSpacing/>
        <w:jc w:val="center"/>
        <w:rPr>
          <w:rFonts w:ascii="Arial Narrow" w:hAnsi="Arial Narrow"/>
          <w:b/>
          <w:color w:val="auto"/>
          <w:sz w:val="52"/>
          <w:szCs w:val="24"/>
        </w:rPr>
      </w:pPr>
    </w:p>
    <w:p w:rsidR="005A0F6E" w:rsidRPr="00CD728B" w:rsidRDefault="00387542" w:rsidP="002E7D47">
      <w:pPr>
        <w:pStyle w:val="Ttulo1"/>
        <w:contextualSpacing/>
        <w:jc w:val="center"/>
        <w:rPr>
          <w:rFonts w:ascii="Arial Narrow" w:hAnsi="Arial Narrow"/>
          <w:b/>
          <w:color w:val="auto"/>
          <w:sz w:val="72"/>
          <w:szCs w:val="72"/>
        </w:rPr>
      </w:pPr>
      <w:bookmarkStart w:id="1" w:name="_Toc14293704"/>
      <w:r w:rsidRPr="00CD728B">
        <w:rPr>
          <w:rFonts w:ascii="Arial Narrow" w:hAnsi="Arial Narrow"/>
          <w:b/>
          <w:color w:val="auto"/>
          <w:sz w:val="72"/>
          <w:szCs w:val="72"/>
        </w:rPr>
        <w:t>INFORME RESPECTO DE LA PRIMERA EVALUACIÓN VINCULANTE 2019</w:t>
      </w:r>
      <w:bookmarkEnd w:id="0"/>
      <w:bookmarkEnd w:id="1"/>
    </w:p>
    <w:p w:rsidR="005A0F6E" w:rsidRPr="00CD728B" w:rsidRDefault="005A0F6E" w:rsidP="002E7D47">
      <w:pPr>
        <w:contextualSpacing/>
        <w:rPr>
          <w:rFonts w:ascii="Arial Narrow" w:hAnsi="Arial Narrow"/>
          <w:b/>
        </w:rPr>
      </w:pPr>
    </w:p>
    <w:p w:rsidR="005A0F6E" w:rsidRPr="00CD728B" w:rsidRDefault="005A0F6E" w:rsidP="002E7D47">
      <w:pPr>
        <w:contextualSpacing/>
        <w:rPr>
          <w:rFonts w:ascii="Arial Narrow" w:hAnsi="Arial Narrow"/>
          <w:b/>
        </w:rPr>
      </w:pPr>
    </w:p>
    <w:p w:rsidR="005A0F6E" w:rsidRPr="00CD728B" w:rsidRDefault="005A0F6E" w:rsidP="002E7D47">
      <w:pPr>
        <w:contextualSpacing/>
        <w:rPr>
          <w:rFonts w:ascii="Arial Narrow" w:hAnsi="Arial Narrow"/>
          <w:b/>
        </w:rPr>
      </w:pPr>
    </w:p>
    <w:p w:rsidR="005A0F6E" w:rsidRPr="00CD728B" w:rsidRDefault="005A0F6E" w:rsidP="002E7D47">
      <w:pPr>
        <w:contextualSpacing/>
        <w:rPr>
          <w:rFonts w:ascii="Arial Narrow" w:hAnsi="Arial Narrow"/>
          <w:b/>
          <w:sz w:val="40"/>
          <w:szCs w:val="32"/>
        </w:rPr>
      </w:pPr>
    </w:p>
    <w:p w:rsidR="005A0F6E" w:rsidRPr="00CD728B" w:rsidRDefault="005A0F6E" w:rsidP="002E7D47">
      <w:pPr>
        <w:contextualSpacing/>
        <w:jc w:val="center"/>
        <w:rPr>
          <w:rFonts w:ascii="Arial Narrow" w:hAnsi="Arial Narrow"/>
          <w:b/>
          <w:sz w:val="40"/>
          <w:szCs w:val="32"/>
        </w:rPr>
      </w:pPr>
      <w:r w:rsidRPr="00CD728B">
        <w:rPr>
          <w:rFonts w:ascii="Arial Narrow" w:hAnsi="Arial Narrow"/>
          <w:b/>
          <w:sz w:val="40"/>
          <w:szCs w:val="32"/>
        </w:rPr>
        <w:t>Dirección de Estado Abierto, Estudios y Evaluación</w:t>
      </w:r>
    </w:p>
    <w:p w:rsidR="002E7D47" w:rsidRPr="00CD728B" w:rsidRDefault="002E7D47" w:rsidP="002E7D47">
      <w:pPr>
        <w:contextualSpacing/>
        <w:jc w:val="right"/>
        <w:rPr>
          <w:rFonts w:ascii="Arial Narrow" w:hAnsi="Arial Narrow"/>
          <w:b/>
          <w:sz w:val="32"/>
          <w:szCs w:val="32"/>
        </w:rPr>
      </w:pPr>
    </w:p>
    <w:p w:rsidR="002E7D47" w:rsidRPr="00CD728B" w:rsidRDefault="002E7D47" w:rsidP="002E7D47">
      <w:pPr>
        <w:contextualSpacing/>
        <w:jc w:val="right"/>
        <w:rPr>
          <w:rFonts w:ascii="Arial Narrow" w:hAnsi="Arial Narrow"/>
          <w:b/>
          <w:sz w:val="32"/>
          <w:szCs w:val="32"/>
        </w:rPr>
      </w:pPr>
    </w:p>
    <w:p w:rsidR="002E7D47" w:rsidRPr="00CD728B" w:rsidRDefault="002E7D47" w:rsidP="002E7D47">
      <w:pPr>
        <w:contextualSpacing/>
        <w:jc w:val="right"/>
        <w:rPr>
          <w:rFonts w:ascii="Arial Narrow" w:hAnsi="Arial Narrow"/>
          <w:b/>
          <w:sz w:val="32"/>
          <w:szCs w:val="32"/>
        </w:rPr>
      </w:pPr>
    </w:p>
    <w:p w:rsidR="002E7D47" w:rsidRPr="00CD728B" w:rsidRDefault="002E7D47" w:rsidP="002E7D47">
      <w:pPr>
        <w:contextualSpacing/>
        <w:jc w:val="right"/>
        <w:rPr>
          <w:rFonts w:ascii="Arial Narrow" w:hAnsi="Arial Narrow"/>
          <w:b/>
          <w:sz w:val="40"/>
          <w:szCs w:val="32"/>
        </w:rPr>
      </w:pPr>
    </w:p>
    <w:p w:rsidR="005A0F6E" w:rsidRPr="00CD728B" w:rsidRDefault="005A0F6E" w:rsidP="002E7D47">
      <w:pPr>
        <w:contextualSpacing/>
        <w:jc w:val="right"/>
        <w:rPr>
          <w:rFonts w:ascii="Arial Narrow" w:hAnsi="Arial Narrow"/>
          <w:b/>
          <w:sz w:val="40"/>
          <w:szCs w:val="32"/>
        </w:rPr>
      </w:pPr>
      <w:r w:rsidRPr="00CD728B">
        <w:rPr>
          <w:rFonts w:ascii="Arial Narrow" w:hAnsi="Arial Narrow"/>
          <w:b/>
          <w:sz w:val="40"/>
          <w:szCs w:val="32"/>
        </w:rPr>
        <w:t>07 de agosto de 2019</w:t>
      </w:r>
    </w:p>
    <w:p w:rsidR="00387542" w:rsidRPr="00CD728B" w:rsidRDefault="00387542" w:rsidP="002E7D47">
      <w:pPr>
        <w:tabs>
          <w:tab w:val="left" w:pos="5121"/>
        </w:tabs>
        <w:autoSpaceDE w:val="0"/>
        <w:autoSpaceDN w:val="0"/>
        <w:adjustRightInd w:val="0"/>
        <w:spacing w:after="0" w:line="360" w:lineRule="auto"/>
        <w:contextualSpacing/>
        <w:jc w:val="both"/>
        <w:rPr>
          <w:rFonts w:ascii="Arial Narrow" w:hAnsi="Arial Narrow" w:cs="Arial"/>
          <w:b/>
          <w:sz w:val="24"/>
          <w:szCs w:val="24"/>
        </w:rPr>
      </w:pPr>
      <w:r w:rsidRPr="00CD728B">
        <w:rPr>
          <w:rFonts w:ascii="Arial Narrow" w:hAnsi="Arial Narrow" w:cs="Arial"/>
          <w:b/>
          <w:sz w:val="24"/>
          <w:szCs w:val="24"/>
        </w:rPr>
        <w:tab/>
      </w:r>
    </w:p>
    <w:p w:rsidR="005A0F6E" w:rsidRPr="00CD728B" w:rsidRDefault="005A0F6E" w:rsidP="002E7D47">
      <w:pPr>
        <w:contextualSpacing/>
        <w:rPr>
          <w:rFonts w:ascii="Arial Narrow" w:hAnsi="Arial Narrow" w:cs="Arial"/>
          <w:b/>
          <w:sz w:val="24"/>
          <w:szCs w:val="24"/>
        </w:rPr>
      </w:pPr>
      <w:r w:rsidRPr="00CD728B">
        <w:rPr>
          <w:rFonts w:ascii="Arial Narrow" w:hAnsi="Arial Narrow" w:cs="Arial"/>
          <w:b/>
          <w:sz w:val="24"/>
          <w:szCs w:val="24"/>
        </w:rPr>
        <w:br w:type="page"/>
      </w:r>
    </w:p>
    <w:p w:rsidR="00AF69FA" w:rsidRPr="00CD728B" w:rsidRDefault="00AF69FA" w:rsidP="002E7D47">
      <w:pPr>
        <w:autoSpaceDE w:val="0"/>
        <w:autoSpaceDN w:val="0"/>
        <w:adjustRightInd w:val="0"/>
        <w:spacing w:after="0" w:line="360" w:lineRule="auto"/>
        <w:contextualSpacing/>
        <w:jc w:val="center"/>
        <w:rPr>
          <w:rFonts w:ascii="Arial Narrow" w:hAnsi="Arial Narrow" w:cs="Arial"/>
          <w:b/>
          <w:sz w:val="24"/>
          <w:szCs w:val="24"/>
        </w:rPr>
      </w:pPr>
      <w:r w:rsidRPr="00CD728B">
        <w:rPr>
          <w:rFonts w:ascii="Arial Narrow" w:hAnsi="Arial Narrow" w:cs="Arial"/>
          <w:b/>
          <w:sz w:val="24"/>
          <w:szCs w:val="24"/>
        </w:rPr>
        <w:lastRenderedPageBreak/>
        <w:t>ÍNDICE</w:t>
      </w:r>
    </w:p>
    <w:sdt>
      <w:sdtPr>
        <w:rPr>
          <w:rFonts w:asciiTheme="minorHAnsi" w:eastAsiaTheme="minorHAnsi" w:hAnsiTheme="minorHAnsi" w:cstheme="minorBidi"/>
          <w:color w:val="auto"/>
          <w:sz w:val="22"/>
          <w:szCs w:val="22"/>
          <w:lang w:val="es-ES" w:eastAsia="en-US"/>
        </w:rPr>
        <w:id w:val="97077162"/>
        <w:docPartObj>
          <w:docPartGallery w:val="Table of Contents"/>
          <w:docPartUnique/>
        </w:docPartObj>
      </w:sdtPr>
      <w:sdtEndPr>
        <w:rPr>
          <w:b/>
          <w:bCs/>
        </w:rPr>
      </w:sdtEndPr>
      <w:sdtContent>
        <w:p w:rsidR="00552574" w:rsidRPr="005A242A" w:rsidRDefault="00552574">
          <w:pPr>
            <w:pStyle w:val="TtulodeTDC"/>
            <w:rPr>
              <w:sz w:val="22"/>
              <w:szCs w:val="22"/>
            </w:rPr>
          </w:pPr>
        </w:p>
        <w:p w:rsidR="00552574" w:rsidRPr="005A242A" w:rsidRDefault="00552574">
          <w:pPr>
            <w:pStyle w:val="TDC1"/>
            <w:tabs>
              <w:tab w:val="right" w:leader="dot" w:pos="8828"/>
            </w:tabs>
            <w:rPr>
              <w:rFonts w:ascii="Arial Narrow" w:hAnsi="Arial Narrow" w:cstheme="minorBidi"/>
              <w:noProof/>
            </w:rPr>
          </w:pPr>
          <w:r w:rsidRPr="005A242A">
            <w:fldChar w:fldCharType="begin"/>
          </w:r>
          <w:r w:rsidRPr="005A242A">
            <w:instrText xml:space="preserve"> TOC \o "1-3" \h \z \u </w:instrText>
          </w:r>
          <w:r w:rsidRPr="005A242A">
            <w:fldChar w:fldCharType="separate"/>
          </w:r>
          <w:hyperlink w:anchor="_Toc14293704" w:history="1">
            <w:r w:rsidRPr="005A242A">
              <w:rPr>
                <w:rStyle w:val="Hipervnculo"/>
                <w:rFonts w:ascii="Arial Narrow" w:hAnsi="Arial Narrow"/>
                <w:b/>
                <w:noProof/>
              </w:rPr>
              <w:t>INFORME RESPECTO DE LA PRIMERA EVALUACIÓN VINCULANTE 2019</w:t>
            </w:r>
            <w:r w:rsidRPr="005A242A">
              <w:rPr>
                <w:rFonts w:ascii="Arial Narrow" w:hAnsi="Arial Narrow"/>
                <w:noProof/>
                <w:webHidden/>
              </w:rPr>
              <w:tab/>
            </w:r>
            <w:r w:rsidRPr="005A242A">
              <w:rPr>
                <w:rFonts w:ascii="Arial Narrow" w:hAnsi="Arial Narrow"/>
                <w:noProof/>
                <w:webHidden/>
              </w:rPr>
              <w:fldChar w:fldCharType="begin"/>
            </w:r>
            <w:r w:rsidRPr="005A242A">
              <w:rPr>
                <w:rFonts w:ascii="Arial Narrow" w:hAnsi="Arial Narrow"/>
                <w:noProof/>
                <w:webHidden/>
              </w:rPr>
              <w:instrText xml:space="preserve"> PAGEREF _Toc14293704 \h </w:instrText>
            </w:r>
            <w:r w:rsidRPr="005A242A">
              <w:rPr>
                <w:rFonts w:ascii="Arial Narrow" w:hAnsi="Arial Narrow"/>
                <w:noProof/>
                <w:webHidden/>
              </w:rPr>
            </w:r>
            <w:r w:rsidRPr="005A242A">
              <w:rPr>
                <w:rFonts w:ascii="Arial Narrow" w:hAnsi="Arial Narrow"/>
                <w:noProof/>
                <w:webHidden/>
              </w:rPr>
              <w:fldChar w:fldCharType="separate"/>
            </w:r>
            <w:r w:rsidR="00CE28A8">
              <w:rPr>
                <w:rFonts w:ascii="Arial Narrow" w:hAnsi="Arial Narrow"/>
                <w:noProof/>
                <w:webHidden/>
              </w:rPr>
              <w:t>1</w:t>
            </w:r>
            <w:r w:rsidRPr="005A242A">
              <w:rPr>
                <w:rFonts w:ascii="Arial Narrow" w:hAnsi="Arial Narrow"/>
                <w:noProof/>
                <w:webHidden/>
              </w:rPr>
              <w:fldChar w:fldCharType="end"/>
            </w:r>
          </w:hyperlink>
        </w:p>
        <w:p w:rsidR="00552574" w:rsidRPr="005A242A" w:rsidRDefault="007C0694">
          <w:pPr>
            <w:pStyle w:val="TDC1"/>
            <w:tabs>
              <w:tab w:val="right" w:leader="dot" w:pos="8828"/>
            </w:tabs>
            <w:rPr>
              <w:rFonts w:ascii="Arial Narrow" w:hAnsi="Arial Narrow" w:cstheme="minorBidi"/>
              <w:noProof/>
            </w:rPr>
          </w:pPr>
          <w:hyperlink w:anchor="_Toc14293705" w:history="1">
            <w:r w:rsidR="00552574" w:rsidRPr="005A242A">
              <w:rPr>
                <w:rStyle w:val="Hipervnculo"/>
                <w:rFonts w:ascii="Arial Narrow" w:hAnsi="Arial Narrow"/>
                <w:b/>
                <w:noProof/>
              </w:rPr>
              <w:t>INTRODUCCIÓN</w:t>
            </w:r>
            <w:r w:rsidR="00552574" w:rsidRPr="005A242A">
              <w:rPr>
                <w:rFonts w:ascii="Arial Narrow" w:hAnsi="Arial Narrow"/>
                <w:noProof/>
                <w:webHidden/>
              </w:rPr>
              <w:tab/>
            </w:r>
            <w:r w:rsidR="00552574" w:rsidRPr="005A242A">
              <w:rPr>
                <w:rFonts w:ascii="Arial Narrow" w:hAnsi="Arial Narrow"/>
                <w:noProof/>
                <w:webHidden/>
              </w:rPr>
              <w:fldChar w:fldCharType="begin"/>
            </w:r>
            <w:r w:rsidR="00552574" w:rsidRPr="005A242A">
              <w:rPr>
                <w:rFonts w:ascii="Arial Narrow" w:hAnsi="Arial Narrow"/>
                <w:noProof/>
                <w:webHidden/>
              </w:rPr>
              <w:instrText xml:space="preserve"> PAGEREF _Toc14293705 \h </w:instrText>
            </w:r>
            <w:r w:rsidR="00552574" w:rsidRPr="005A242A">
              <w:rPr>
                <w:rFonts w:ascii="Arial Narrow" w:hAnsi="Arial Narrow"/>
                <w:noProof/>
                <w:webHidden/>
              </w:rPr>
            </w:r>
            <w:r w:rsidR="00552574" w:rsidRPr="005A242A">
              <w:rPr>
                <w:rFonts w:ascii="Arial Narrow" w:hAnsi="Arial Narrow"/>
                <w:noProof/>
                <w:webHidden/>
              </w:rPr>
              <w:fldChar w:fldCharType="separate"/>
            </w:r>
            <w:r w:rsidR="00CE28A8">
              <w:rPr>
                <w:rFonts w:ascii="Arial Narrow" w:hAnsi="Arial Narrow"/>
                <w:noProof/>
                <w:webHidden/>
              </w:rPr>
              <w:t>6</w:t>
            </w:r>
            <w:r w:rsidR="00552574" w:rsidRPr="005A242A">
              <w:rPr>
                <w:rFonts w:ascii="Arial Narrow" w:hAnsi="Arial Narrow"/>
                <w:noProof/>
                <w:webHidden/>
              </w:rPr>
              <w:fldChar w:fldCharType="end"/>
            </w:r>
          </w:hyperlink>
        </w:p>
        <w:p w:rsidR="00552574" w:rsidRPr="005A242A" w:rsidRDefault="007C0694">
          <w:pPr>
            <w:pStyle w:val="TDC1"/>
            <w:tabs>
              <w:tab w:val="right" w:leader="dot" w:pos="8828"/>
            </w:tabs>
            <w:rPr>
              <w:rFonts w:ascii="Arial Narrow" w:hAnsi="Arial Narrow" w:cstheme="minorBidi"/>
              <w:noProof/>
            </w:rPr>
          </w:pPr>
          <w:hyperlink w:anchor="_Toc14293706" w:history="1">
            <w:r w:rsidR="00552574" w:rsidRPr="005A242A">
              <w:rPr>
                <w:rStyle w:val="Hipervnculo"/>
                <w:rFonts w:ascii="Arial Narrow" w:hAnsi="Arial Narrow"/>
                <w:b/>
                <w:noProof/>
              </w:rPr>
              <w:t xml:space="preserve">SÍNTESIS DE LOS </w:t>
            </w:r>
            <w:r w:rsidR="009D7771" w:rsidRPr="005A242A">
              <w:rPr>
                <w:rStyle w:val="Hipervnculo"/>
                <w:rFonts w:ascii="Arial Narrow" w:hAnsi="Arial Narrow"/>
                <w:b/>
                <w:noProof/>
              </w:rPr>
              <w:t>ARTÍCULO</w:t>
            </w:r>
            <w:r w:rsidR="00552574" w:rsidRPr="005A242A">
              <w:rPr>
                <w:rStyle w:val="Hipervnculo"/>
                <w:rFonts w:ascii="Arial Narrow" w:hAnsi="Arial Narrow"/>
                <w:b/>
                <w:noProof/>
              </w:rPr>
              <w:t>S DE LAS OBLIGACIONES DE TRANSPARENCIA ANALIZADOS</w:t>
            </w:r>
            <w:r w:rsidR="00552574" w:rsidRPr="005A242A">
              <w:rPr>
                <w:rFonts w:ascii="Arial Narrow" w:hAnsi="Arial Narrow"/>
                <w:noProof/>
                <w:webHidden/>
              </w:rPr>
              <w:tab/>
            </w:r>
            <w:r w:rsidR="00552574" w:rsidRPr="005A242A">
              <w:rPr>
                <w:rFonts w:ascii="Arial Narrow" w:hAnsi="Arial Narrow"/>
                <w:noProof/>
                <w:webHidden/>
              </w:rPr>
              <w:fldChar w:fldCharType="begin"/>
            </w:r>
            <w:r w:rsidR="00552574" w:rsidRPr="005A242A">
              <w:rPr>
                <w:rFonts w:ascii="Arial Narrow" w:hAnsi="Arial Narrow"/>
                <w:noProof/>
                <w:webHidden/>
              </w:rPr>
              <w:instrText xml:space="preserve"> PAGEREF _Toc14293706 \h </w:instrText>
            </w:r>
            <w:r w:rsidR="00552574" w:rsidRPr="005A242A">
              <w:rPr>
                <w:rFonts w:ascii="Arial Narrow" w:hAnsi="Arial Narrow"/>
                <w:noProof/>
                <w:webHidden/>
              </w:rPr>
            </w:r>
            <w:r w:rsidR="00552574" w:rsidRPr="005A242A">
              <w:rPr>
                <w:rFonts w:ascii="Arial Narrow" w:hAnsi="Arial Narrow"/>
                <w:noProof/>
                <w:webHidden/>
              </w:rPr>
              <w:fldChar w:fldCharType="separate"/>
            </w:r>
            <w:r w:rsidR="00CE28A8">
              <w:rPr>
                <w:rFonts w:ascii="Arial Narrow" w:hAnsi="Arial Narrow"/>
                <w:noProof/>
                <w:webHidden/>
              </w:rPr>
              <w:t>9</w:t>
            </w:r>
            <w:r w:rsidR="00552574" w:rsidRPr="005A242A">
              <w:rPr>
                <w:rFonts w:ascii="Arial Narrow" w:hAnsi="Arial Narrow"/>
                <w:noProof/>
                <w:webHidden/>
              </w:rPr>
              <w:fldChar w:fldCharType="end"/>
            </w:r>
          </w:hyperlink>
        </w:p>
        <w:p w:rsidR="00552574" w:rsidRPr="005A242A" w:rsidRDefault="007C0694">
          <w:pPr>
            <w:pStyle w:val="TDC2"/>
            <w:tabs>
              <w:tab w:val="right" w:leader="dot" w:pos="8828"/>
            </w:tabs>
            <w:rPr>
              <w:rFonts w:ascii="Arial Narrow" w:hAnsi="Arial Narrow" w:cstheme="minorBidi"/>
              <w:noProof/>
            </w:rPr>
          </w:pPr>
          <w:hyperlink w:anchor="_Toc14293707" w:history="1">
            <w:r w:rsidR="00552574" w:rsidRPr="005A242A">
              <w:rPr>
                <w:rStyle w:val="Hipervnculo"/>
                <w:rFonts w:ascii="Arial Narrow" w:hAnsi="Arial Narrow"/>
                <w:b/>
                <w:noProof/>
              </w:rPr>
              <w:t>Obligaciones Comunes de la Ley de Transparencia Local</w:t>
            </w:r>
            <w:r w:rsidR="00552574" w:rsidRPr="005A242A">
              <w:rPr>
                <w:rFonts w:ascii="Arial Narrow" w:hAnsi="Arial Narrow"/>
                <w:noProof/>
                <w:webHidden/>
              </w:rPr>
              <w:tab/>
            </w:r>
            <w:r w:rsidR="00552574" w:rsidRPr="005A242A">
              <w:rPr>
                <w:rFonts w:ascii="Arial Narrow" w:hAnsi="Arial Narrow"/>
                <w:noProof/>
                <w:webHidden/>
              </w:rPr>
              <w:fldChar w:fldCharType="begin"/>
            </w:r>
            <w:r w:rsidR="00552574" w:rsidRPr="005A242A">
              <w:rPr>
                <w:rFonts w:ascii="Arial Narrow" w:hAnsi="Arial Narrow"/>
                <w:noProof/>
                <w:webHidden/>
              </w:rPr>
              <w:instrText xml:space="preserve"> PAGEREF _Toc14293707 \h </w:instrText>
            </w:r>
            <w:r w:rsidR="00552574" w:rsidRPr="005A242A">
              <w:rPr>
                <w:rFonts w:ascii="Arial Narrow" w:hAnsi="Arial Narrow"/>
                <w:noProof/>
                <w:webHidden/>
              </w:rPr>
            </w:r>
            <w:r w:rsidR="00552574" w:rsidRPr="005A242A">
              <w:rPr>
                <w:rFonts w:ascii="Arial Narrow" w:hAnsi="Arial Narrow"/>
                <w:noProof/>
                <w:webHidden/>
              </w:rPr>
              <w:fldChar w:fldCharType="separate"/>
            </w:r>
            <w:r w:rsidR="00CE28A8">
              <w:rPr>
                <w:rFonts w:ascii="Arial Narrow" w:hAnsi="Arial Narrow"/>
                <w:noProof/>
                <w:webHidden/>
              </w:rPr>
              <w:t>9</w:t>
            </w:r>
            <w:r w:rsidR="00552574" w:rsidRPr="005A242A">
              <w:rPr>
                <w:rFonts w:ascii="Arial Narrow" w:hAnsi="Arial Narrow"/>
                <w:noProof/>
                <w:webHidden/>
              </w:rPr>
              <w:fldChar w:fldCharType="end"/>
            </w:r>
          </w:hyperlink>
        </w:p>
        <w:p w:rsidR="00552574" w:rsidRPr="005A242A" w:rsidRDefault="007C0694">
          <w:pPr>
            <w:pStyle w:val="TDC2"/>
            <w:tabs>
              <w:tab w:val="right" w:leader="dot" w:pos="8828"/>
            </w:tabs>
            <w:rPr>
              <w:rFonts w:ascii="Arial Narrow" w:hAnsi="Arial Narrow" w:cstheme="minorBidi"/>
              <w:noProof/>
            </w:rPr>
          </w:pPr>
          <w:hyperlink w:anchor="_Toc14293708" w:history="1">
            <w:r w:rsidR="00552574" w:rsidRPr="005A242A">
              <w:rPr>
                <w:rStyle w:val="Hipervnculo"/>
                <w:rFonts w:ascii="Arial Narrow" w:hAnsi="Arial Narrow"/>
                <w:b/>
                <w:noProof/>
              </w:rPr>
              <w:t>Obligaciones Específicas de la Ley de Transparencia Local</w:t>
            </w:r>
            <w:r w:rsidR="00552574" w:rsidRPr="005A242A">
              <w:rPr>
                <w:rFonts w:ascii="Arial Narrow" w:hAnsi="Arial Narrow"/>
                <w:noProof/>
                <w:webHidden/>
              </w:rPr>
              <w:tab/>
            </w:r>
            <w:r w:rsidR="00552574" w:rsidRPr="005A242A">
              <w:rPr>
                <w:rFonts w:ascii="Arial Narrow" w:hAnsi="Arial Narrow"/>
                <w:noProof/>
                <w:webHidden/>
              </w:rPr>
              <w:fldChar w:fldCharType="begin"/>
            </w:r>
            <w:r w:rsidR="00552574" w:rsidRPr="005A242A">
              <w:rPr>
                <w:rFonts w:ascii="Arial Narrow" w:hAnsi="Arial Narrow"/>
                <w:noProof/>
                <w:webHidden/>
              </w:rPr>
              <w:instrText xml:space="preserve"> PAGEREF _Toc14293708 \h </w:instrText>
            </w:r>
            <w:r w:rsidR="00552574" w:rsidRPr="005A242A">
              <w:rPr>
                <w:rFonts w:ascii="Arial Narrow" w:hAnsi="Arial Narrow"/>
                <w:noProof/>
                <w:webHidden/>
              </w:rPr>
            </w:r>
            <w:r w:rsidR="00552574" w:rsidRPr="005A242A">
              <w:rPr>
                <w:rFonts w:ascii="Arial Narrow" w:hAnsi="Arial Narrow"/>
                <w:noProof/>
                <w:webHidden/>
              </w:rPr>
              <w:fldChar w:fldCharType="separate"/>
            </w:r>
            <w:r w:rsidR="00CE28A8">
              <w:rPr>
                <w:rFonts w:ascii="Arial Narrow" w:hAnsi="Arial Narrow"/>
                <w:noProof/>
                <w:webHidden/>
              </w:rPr>
              <w:t>9</w:t>
            </w:r>
            <w:r w:rsidR="00552574" w:rsidRPr="005A242A">
              <w:rPr>
                <w:rFonts w:ascii="Arial Narrow" w:hAnsi="Arial Narrow"/>
                <w:noProof/>
                <w:webHidden/>
              </w:rPr>
              <w:fldChar w:fldCharType="end"/>
            </w:r>
          </w:hyperlink>
        </w:p>
        <w:p w:rsidR="00552574" w:rsidRPr="005A242A" w:rsidRDefault="007C0694">
          <w:pPr>
            <w:pStyle w:val="TDC2"/>
            <w:tabs>
              <w:tab w:val="right" w:leader="dot" w:pos="8828"/>
            </w:tabs>
            <w:rPr>
              <w:rFonts w:ascii="Arial Narrow" w:hAnsi="Arial Narrow" w:cstheme="minorBidi"/>
              <w:noProof/>
            </w:rPr>
          </w:pPr>
          <w:hyperlink w:anchor="_Toc14293709" w:history="1">
            <w:r w:rsidR="00552574" w:rsidRPr="005A242A">
              <w:rPr>
                <w:rStyle w:val="Hipervnculo"/>
                <w:rFonts w:ascii="Arial Narrow" w:hAnsi="Arial Narrow"/>
                <w:b/>
                <w:noProof/>
              </w:rPr>
              <w:t>Disposiciones Particulares de la Ley de Transparencia Local</w:t>
            </w:r>
            <w:r w:rsidR="00552574" w:rsidRPr="005A242A">
              <w:rPr>
                <w:rFonts w:ascii="Arial Narrow" w:hAnsi="Arial Narrow"/>
                <w:noProof/>
                <w:webHidden/>
              </w:rPr>
              <w:tab/>
            </w:r>
            <w:r w:rsidR="00552574" w:rsidRPr="005A242A">
              <w:rPr>
                <w:rFonts w:ascii="Arial Narrow" w:hAnsi="Arial Narrow"/>
                <w:noProof/>
                <w:webHidden/>
              </w:rPr>
              <w:fldChar w:fldCharType="begin"/>
            </w:r>
            <w:r w:rsidR="00552574" w:rsidRPr="005A242A">
              <w:rPr>
                <w:rFonts w:ascii="Arial Narrow" w:hAnsi="Arial Narrow"/>
                <w:noProof/>
                <w:webHidden/>
              </w:rPr>
              <w:instrText xml:space="preserve"> PAGEREF _Toc14293709 \h </w:instrText>
            </w:r>
            <w:r w:rsidR="00552574" w:rsidRPr="005A242A">
              <w:rPr>
                <w:rFonts w:ascii="Arial Narrow" w:hAnsi="Arial Narrow"/>
                <w:noProof/>
                <w:webHidden/>
              </w:rPr>
            </w:r>
            <w:r w:rsidR="00552574" w:rsidRPr="005A242A">
              <w:rPr>
                <w:rFonts w:ascii="Arial Narrow" w:hAnsi="Arial Narrow"/>
                <w:noProof/>
                <w:webHidden/>
              </w:rPr>
              <w:fldChar w:fldCharType="separate"/>
            </w:r>
            <w:r w:rsidR="00CE28A8">
              <w:rPr>
                <w:rFonts w:ascii="Arial Narrow" w:hAnsi="Arial Narrow"/>
                <w:noProof/>
                <w:webHidden/>
              </w:rPr>
              <w:t>14</w:t>
            </w:r>
            <w:r w:rsidR="00552574" w:rsidRPr="005A242A">
              <w:rPr>
                <w:rFonts w:ascii="Arial Narrow" w:hAnsi="Arial Narrow"/>
                <w:noProof/>
                <w:webHidden/>
              </w:rPr>
              <w:fldChar w:fldCharType="end"/>
            </w:r>
          </w:hyperlink>
        </w:p>
        <w:p w:rsidR="00552574" w:rsidRPr="005A242A" w:rsidRDefault="007C0694">
          <w:pPr>
            <w:pStyle w:val="TDC1"/>
            <w:tabs>
              <w:tab w:val="right" w:leader="dot" w:pos="8828"/>
            </w:tabs>
            <w:rPr>
              <w:rFonts w:ascii="Arial Narrow" w:hAnsi="Arial Narrow" w:cstheme="minorBidi"/>
              <w:noProof/>
            </w:rPr>
          </w:pPr>
          <w:hyperlink w:anchor="_Toc14293710" w:history="1">
            <w:r w:rsidR="00552574" w:rsidRPr="005A242A">
              <w:rPr>
                <w:rStyle w:val="Hipervnculo"/>
                <w:rFonts w:ascii="Arial Narrow" w:hAnsi="Arial Narrow"/>
                <w:b/>
                <w:noProof/>
              </w:rPr>
              <w:t>RESULTADOS GLOBALES DEL CUMPLIMIENTO DE LAS OBLIGACIONES DE TRANSPARENCIA DE LOS SUJETOS OBLIGADOS DE LA CIUDAD DE MÉXICO</w:t>
            </w:r>
            <w:r w:rsidR="00552574" w:rsidRPr="005A242A">
              <w:rPr>
                <w:rFonts w:ascii="Arial Narrow" w:hAnsi="Arial Narrow"/>
                <w:noProof/>
                <w:webHidden/>
              </w:rPr>
              <w:tab/>
            </w:r>
            <w:r w:rsidR="00552574" w:rsidRPr="005A242A">
              <w:rPr>
                <w:rFonts w:ascii="Arial Narrow" w:hAnsi="Arial Narrow"/>
                <w:noProof/>
                <w:webHidden/>
              </w:rPr>
              <w:fldChar w:fldCharType="begin"/>
            </w:r>
            <w:r w:rsidR="00552574" w:rsidRPr="005A242A">
              <w:rPr>
                <w:rFonts w:ascii="Arial Narrow" w:hAnsi="Arial Narrow"/>
                <w:noProof/>
                <w:webHidden/>
              </w:rPr>
              <w:instrText xml:space="preserve"> PAGEREF _Toc14293710 \h </w:instrText>
            </w:r>
            <w:r w:rsidR="00552574" w:rsidRPr="005A242A">
              <w:rPr>
                <w:rFonts w:ascii="Arial Narrow" w:hAnsi="Arial Narrow"/>
                <w:noProof/>
                <w:webHidden/>
              </w:rPr>
            </w:r>
            <w:r w:rsidR="00552574" w:rsidRPr="005A242A">
              <w:rPr>
                <w:rFonts w:ascii="Arial Narrow" w:hAnsi="Arial Narrow"/>
                <w:noProof/>
                <w:webHidden/>
              </w:rPr>
              <w:fldChar w:fldCharType="separate"/>
            </w:r>
            <w:r w:rsidR="00CE28A8">
              <w:rPr>
                <w:rFonts w:ascii="Arial Narrow" w:hAnsi="Arial Narrow"/>
                <w:noProof/>
                <w:webHidden/>
              </w:rPr>
              <w:t>15</w:t>
            </w:r>
            <w:r w:rsidR="00552574" w:rsidRPr="005A242A">
              <w:rPr>
                <w:rFonts w:ascii="Arial Narrow" w:hAnsi="Arial Narrow"/>
                <w:noProof/>
                <w:webHidden/>
              </w:rPr>
              <w:fldChar w:fldCharType="end"/>
            </w:r>
          </w:hyperlink>
        </w:p>
        <w:p w:rsidR="00552574" w:rsidRPr="005A242A" w:rsidRDefault="007C0694">
          <w:pPr>
            <w:pStyle w:val="TDC1"/>
            <w:tabs>
              <w:tab w:val="left" w:pos="440"/>
              <w:tab w:val="right" w:leader="dot" w:pos="8828"/>
            </w:tabs>
            <w:rPr>
              <w:rFonts w:ascii="Arial Narrow" w:hAnsi="Arial Narrow" w:cstheme="minorBidi"/>
              <w:noProof/>
            </w:rPr>
          </w:pPr>
          <w:hyperlink w:anchor="_Toc14293711" w:history="1">
            <w:r w:rsidR="00552574" w:rsidRPr="005A242A">
              <w:rPr>
                <w:rStyle w:val="Hipervnculo"/>
                <w:rFonts w:ascii="Arial Narrow" w:hAnsi="Arial Narrow"/>
                <w:b/>
                <w:noProof/>
              </w:rPr>
              <w:t>1.</w:t>
            </w:r>
            <w:r w:rsidR="00552574" w:rsidRPr="005A242A">
              <w:rPr>
                <w:rFonts w:ascii="Arial Narrow" w:hAnsi="Arial Narrow" w:cstheme="minorBidi"/>
                <w:noProof/>
              </w:rPr>
              <w:tab/>
            </w:r>
            <w:r w:rsidR="00552574" w:rsidRPr="005A242A">
              <w:rPr>
                <w:rStyle w:val="Hipervnculo"/>
                <w:rFonts w:ascii="Arial Narrow" w:hAnsi="Arial Narrow"/>
                <w:b/>
                <w:noProof/>
              </w:rPr>
              <w:t>PODER EJECUTIVO</w:t>
            </w:r>
            <w:r w:rsidR="00552574" w:rsidRPr="005A242A">
              <w:rPr>
                <w:rFonts w:ascii="Arial Narrow" w:hAnsi="Arial Narrow"/>
                <w:noProof/>
                <w:webHidden/>
              </w:rPr>
              <w:tab/>
            </w:r>
            <w:r w:rsidR="00552574" w:rsidRPr="005A242A">
              <w:rPr>
                <w:rFonts w:ascii="Arial Narrow" w:hAnsi="Arial Narrow"/>
                <w:noProof/>
                <w:webHidden/>
              </w:rPr>
              <w:fldChar w:fldCharType="begin"/>
            </w:r>
            <w:r w:rsidR="00552574" w:rsidRPr="005A242A">
              <w:rPr>
                <w:rFonts w:ascii="Arial Narrow" w:hAnsi="Arial Narrow"/>
                <w:noProof/>
                <w:webHidden/>
              </w:rPr>
              <w:instrText xml:space="preserve"> PAGEREF _Toc14293711 \h </w:instrText>
            </w:r>
            <w:r w:rsidR="00552574" w:rsidRPr="005A242A">
              <w:rPr>
                <w:rFonts w:ascii="Arial Narrow" w:hAnsi="Arial Narrow"/>
                <w:noProof/>
                <w:webHidden/>
              </w:rPr>
            </w:r>
            <w:r w:rsidR="00552574" w:rsidRPr="005A242A">
              <w:rPr>
                <w:rFonts w:ascii="Arial Narrow" w:hAnsi="Arial Narrow"/>
                <w:noProof/>
                <w:webHidden/>
              </w:rPr>
              <w:fldChar w:fldCharType="separate"/>
            </w:r>
            <w:r w:rsidR="00CE28A8">
              <w:rPr>
                <w:rFonts w:ascii="Arial Narrow" w:hAnsi="Arial Narrow"/>
                <w:noProof/>
                <w:webHidden/>
              </w:rPr>
              <w:t>18</w:t>
            </w:r>
            <w:r w:rsidR="00552574" w:rsidRPr="005A242A">
              <w:rPr>
                <w:rFonts w:ascii="Arial Narrow" w:hAnsi="Arial Narrow"/>
                <w:noProof/>
                <w:webHidden/>
              </w:rPr>
              <w:fldChar w:fldCharType="end"/>
            </w:r>
          </w:hyperlink>
        </w:p>
        <w:p w:rsidR="00552574" w:rsidRPr="005A242A" w:rsidRDefault="007C0694">
          <w:pPr>
            <w:pStyle w:val="TDC2"/>
            <w:tabs>
              <w:tab w:val="left" w:pos="880"/>
              <w:tab w:val="right" w:leader="dot" w:pos="8828"/>
            </w:tabs>
            <w:rPr>
              <w:rFonts w:ascii="Arial Narrow" w:hAnsi="Arial Narrow" w:cstheme="minorBidi"/>
              <w:noProof/>
            </w:rPr>
          </w:pPr>
          <w:hyperlink w:anchor="_Toc14293712" w:history="1">
            <w:r w:rsidR="00552574" w:rsidRPr="005A242A">
              <w:rPr>
                <w:rStyle w:val="Hipervnculo"/>
                <w:rFonts w:ascii="Arial Narrow" w:hAnsi="Arial Narrow"/>
                <w:b/>
                <w:noProof/>
              </w:rPr>
              <w:t>1.1.</w:t>
            </w:r>
            <w:r w:rsidR="00552574" w:rsidRPr="005A242A">
              <w:rPr>
                <w:rFonts w:ascii="Arial Narrow" w:hAnsi="Arial Narrow" w:cstheme="minorBidi"/>
                <w:noProof/>
              </w:rPr>
              <w:tab/>
            </w:r>
            <w:r w:rsidR="00552574" w:rsidRPr="005A242A">
              <w:rPr>
                <w:rStyle w:val="Hipervnculo"/>
                <w:rFonts w:ascii="Arial Narrow" w:hAnsi="Arial Narrow"/>
                <w:b/>
                <w:noProof/>
              </w:rPr>
              <w:t>ADMINISTRACIÓN CENTRAL</w:t>
            </w:r>
            <w:r w:rsidR="00552574" w:rsidRPr="005A242A">
              <w:rPr>
                <w:rFonts w:ascii="Arial Narrow" w:hAnsi="Arial Narrow"/>
                <w:noProof/>
                <w:webHidden/>
              </w:rPr>
              <w:tab/>
            </w:r>
            <w:r w:rsidR="00552574" w:rsidRPr="005A242A">
              <w:rPr>
                <w:rFonts w:ascii="Arial Narrow" w:hAnsi="Arial Narrow"/>
                <w:noProof/>
                <w:webHidden/>
              </w:rPr>
              <w:fldChar w:fldCharType="begin"/>
            </w:r>
            <w:r w:rsidR="00552574" w:rsidRPr="005A242A">
              <w:rPr>
                <w:rFonts w:ascii="Arial Narrow" w:hAnsi="Arial Narrow"/>
                <w:noProof/>
                <w:webHidden/>
              </w:rPr>
              <w:instrText xml:space="preserve"> PAGEREF _Toc14293712 \h </w:instrText>
            </w:r>
            <w:r w:rsidR="00552574" w:rsidRPr="005A242A">
              <w:rPr>
                <w:rFonts w:ascii="Arial Narrow" w:hAnsi="Arial Narrow"/>
                <w:noProof/>
                <w:webHidden/>
              </w:rPr>
            </w:r>
            <w:r w:rsidR="00552574" w:rsidRPr="005A242A">
              <w:rPr>
                <w:rFonts w:ascii="Arial Narrow" w:hAnsi="Arial Narrow"/>
                <w:noProof/>
                <w:webHidden/>
              </w:rPr>
              <w:fldChar w:fldCharType="separate"/>
            </w:r>
            <w:r w:rsidR="00CE28A8">
              <w:rPr>
                <w:rFonts w:ascii="Arial Narrow" w:hAnsi="Arial Narrow"/>
                <w:noProof/>
                <w:webHidden/>
              </w:rPr>
              <w:t>18</w:t>
            </w:r>
            <w:r w:rsidR="00552574" w:rsidRPr="005A242A">
              <w:rPr>
                <w:rFonts w:ascii="Arial Narrow" w:hAnsi="Arial Narrow"/>
                <w:noProof/>
                <w:webHidden/>
              </w:rPr>
              <w:fldChar w:fldCharType="end"/>
            </w:r>
          </w:hyperlink>
        </w:p>
        <w:p w:rsidR="00552574" w:rsidRPr="005A242A" w:rsidRDefault="007C0694">
          <w:pPr>
            <w:pStyle w:val="TDC3"/>
            <w:tabs>
              <w:tab w:val="left" w:pos="1320"/>
              <w:tab w:val="right" w:leader="dot" w:pos="8828"/>
            </w:tabs>
            <w:rPr>
              <w:rFonts w:ascii="Arial Narrow" w:hAnsi="Arial Narrow" w:cstheme="minorBidi"/>
              <w:noProof/>
            </w:rPr>
          </w:pPr>
          <w:hyperlink w:anchor="_Toc14293713" w:history="1">
            <w:r w:rsidR="00552574" w:rsidRPr="005A242A">
              <w:rPr>
                <w:rStyle w:val="Hipervnculo"/>
                <w:rFonts w:ascii="Arial Narrow" w:hAnsi="Arial Narrow"/>
                <w:b/>
                <w:noProof/>
              </w:rPr>
              <w:t>1.1.1.</w:t>
            </w:r>
            <w:r w:rsidR="00552574" w:rsidRPr="005A242A">
              <w:rPr>
                <w:rFonts w:ascii="Arial Narrow" w:hAnsi="Arial Narrow" w:cstheme="minorBidi"/>
                <w:noProof/>
              </w:rPr>
              <w:tab/>
            </w:r>
            <w:r w:rsidR="00552574" w:rsidRPr="005A242A">
              <w:rPr>
                <w:rStyle w:val="Hipervnculo"/>
                <w:rFonts w:ascii="Arial Narrow" w:hAnsi="Arial Narrow"/>
                <w:b/>
                <w:noProof/>
              </w:rPr>
              <w:t>Análisis global de cumplimiento de la Administración Central</w:t>
            </w:r>
            <w:r w:rsidR="00552574" w:rsidRPr="005A242A">
              <w:rPr>
                <w:rFonts w:ascii="Arial Narrow" w:hAnsi="Arial Narrow"/>
                <w:noProof/>
                <w:webHidden/>
              </w:rPr>
              <w:tab/>
            </w:r>
            <w:r w:rsidR="00552574" w:rsidRPr="005A242A">
              <w:rPr>
                <w:rFonts w:ascii="Arial Narrow" w:hAnsi="Arial Narrow"/>
                <w:noProof/>
                <w:webHidden/>
              </w:rPr>
              <w:fldChar w:fldCharType="begin"/>
            </w:r>
            <w:r w:rsidR="00552574" w:rsidRPr="005A242A">
              <w:rPr>
                <w:rFonts w:ascii="Arial Narrow" w:hAnsi="Arial Narrow"/>
                <w:noProof/>
                <w:webHidden/>
              </w:rPr>
              <w:instrText xml:space="preserve"> PAGEREF _Toc14293713 \h </w:instrText>
            </w:r>
            <w:r w:rsidR="00552574" w:rsidRPr="005A242A">
              <w:rPr>
                <w:rFonts w:ascii="Arial Narrow" w:hAnsi="Arial Narrow"/>
                <w:noProof/>
                <w:webHidden/>
              </w:rPr>
            </w:r>
            <w:r w:rsidR="00552574" w:rsidRPr="005A242A">
              <w:rPr>
                <w:rFonts w:ascii="Arial Narrow" w:hAnsi="Arial Narrow"/>
                <w:noProof/>
                <w:webHidden/>
              </w:rPr>
              <w:fldChar w:fldCharType="separate"/>
            </w:r>
            <w:r w:rsidR="00CE28A8">
              <w:rPr>
                <w:rFonts w:ascii="Arial Narrow" w:hAnsi="Arial Narrow"/>
                <w:noProof/>
                <w:webHidden/>
              </w:rPr>
              <w:t>20</w:t>
            </w:r>
            <w:r w:rsidR="00552574" w:rsidRPr="005A242A">
              <w:rPr>
                <w:rFonts w:ascii="Arial Narrow" w:hAnsi="Arial Narrow"/>
                <w:noProof/>
                <w:webHidden/>
              </w:rPr>
              <w:fldChar w:fldCharType="end"/>
            </w:r>
          </w:hyperlink>
        </w:p>
        <w:p w:rsidR="00552574" w:rsidRPr="005A242A" w:rsidRDefault="007C0694">
          <w:pPr>
            <w:pStyle w:val="TDC3"/>
            <w:tabs>
              <w:tab w:val="left" w:pos="1320"/>
              <w:tab w:val="right" w:leader="dot" w:pos="8828"/>
            </w:tabs>
            <w:rPr>
              <w:rFonts w:ascii="Arial Narrow" w:hAnsi="Arial Narrow" w:cstheme="minorBidi"/>
              <w:noProof/>
            </w:rPr>
          </w:pPr>
          <w:hyperlink w:anchor="_Toc14293714" w:history="1">
            <w:r w:rsidR="00552574" w:rsidRPr="005A242A">
              <w:rPr>
                <w:rStyle w:val="Hipervnculo"/>
                <w:rFonts w:ascii="Arial Narrow" w:hAnsi="Arial Narrow"/>
                <w:b/>
                <w:noProof/>
              </w:rPr>
              <w:t>1.1.2.</w:t>
            </w:r>
            <w:r w:rsidR="00552574" w:rsidRPr="005A242A">
              <w:rPr>
                <w:rFonts w:ascii="Arial Narrow" w:hAnsi="Arial Narrow" w:cstheme="minorBidi"/>
                <w:noProof/>
              </w:rPr>
              <w:tab/>
            </w:r>
            <w:r w:rsidR="00552574" w:rsidRPr="005A242A">
              <w:rPr>
                <w:rStyle w:val="Hipervnculo"/>
                <w:rFonts w:ascii="Arial Narrow" w:hAnsi="Arial Narrow"/>
                <w:b/>
                <w:noProof/>
              </w:rPr>
              <w:t xml:space="preserve">Análisis del </w:t>
            </w:r>
            <w:r w:rsidR="009D7771" w:rsidRPr="005A242A">
              <w:rPr>
                <w:rStyle w:val="Hipervnculo"/>
                <w:rFonts w:ascii="Arial Narrow" w:hAnsi="Arial Narrow"/>
                <w:b/>
                <w:noProof/>
              </w:rPr>
              <w:t>Artículo</w:t>
            </w:r>
            <w:r w:rsidR="00552574" w:rsidRPr="005A242A">
              <w:rPr>
                <w:rStyle w:val="Hipervnculo"/>
                <w:rFonts w:ascii="Arial Narrow" w:hAnsi="Arial Narrow"/>
                <w:b/>
                <w:noProof/>
              </w:rPr>
              <w:t xml:space="preserve"> 121 y sus respectivas fracciones</w:t>
            </w:r>
            <w:r w:rsidR="00552574" w:rsidRPr="005A242A">
              <w:rPr>
                <w:rFonts w:ascii="Arial Narrow" w:hAnsi="Arial Narrow"/>
                <w:noProof/>
                <w:webHidden/>
              </w:rPr>
              <w:tab/>
            </w:r>
            <w:r w:rsidR="00552574" w:rsidRPr="005A242A">
              <w:rPr>
                <w:rFonts w:ascii="Arial Narrow" w:hAnsi="Arial Narrow"/>
                <w:noProof/>
                <w:webHidden/>
              </w:rPr>
              <w:fldChar w:fldCharType="begin"/>
            </w:r>
            <w:r w:rsidR="00552574" w:rsidRPr="005A242A">
              <w:rPr>
                <w:rFonts w:ascii="Arial Narrow" w:hAnsi="Arial Narrow"/>
                <w:noProof/>
                <w:webHidden/>
              </w:rPr>
              <w:instrText xml:space="preserve"> PAGEREF _Toc14293714 \h </w:instrText>
            </w:r>
            <w:r w:rsidR="00552574" w:rsidRPr="005A242A">
              <w:rPr>
                <w:rFonts w:ascii="Arial Narrow" w:hAnsi="Arial Narrow"/>
                <w:noProof/>
                <w:webHidden/>
              </w:rPr>
            </w:r>
            <w:r w:rsidR="00552574" w:rsidRPr="005A242A">
              <w:rPr>
                <w:rFonts w:ascii="Arial Narrow" w:hAnsi="Arial Narrow"/>
                <w:noProof/>
                <w:webHidden/>
              </w:rPr>
              <w:fldChar w:fldCharType="separate"/>
            </w:r>
            <w:r w:rsidR="00CE28A8">
              <w:rPr>
                <w:rFonts w:ascii="Arial Narrow" w:hAnsi="Arial Narrow"/>
                <w:noProof/>
                <w:webHidden/>
              </w:rPr>
              <w:t>21</w:t>
            </w:r>
            <w:r w:rsidR="00552574" w:rsidRPr="005A242A">
              <w:rPr>
                <w:rFonts w:ascii="Arial Narrow" w:hAnsi="Arial Narrow"/>
                <w:noProof/>
                <w:webHidden/>
              </w:rPr>
              <w:fldChar w:fldCharType="end"/>
            </w:r>
          </w:hyperlink>
        </w:p>
        <w:p w:rsidR="00552574" w:rsidRPr="005A242A" w:rsidRDefault="007C0694">
          <w:pPr>
            <w:pStyle w:val="TDC3"/>
            <w:tabs>
              <w:tab w:val="left" w:pos="1320"/>
              <w:tab w:val="right" w:leader="dot" w:pos="8828"/>
            </w:tabs>
            <w:rPr>
              <w:rFonts w:ascii="Arial Narrow" w:hAnsi="Arial Narrow" w:cstheme="minorBidi"/>
              <w:noProof/>
            </w:rPr>
          </w:pPr>
          <w:hyperlink w:anchor="_Toc14293715" w:history="1">
            <w:r w:rsidR="00552574" w:rsidRPr="005A242A">
              <w:rPr>
                <w:rStyle w:val="Hipervnculo"/>
                <w:rFonts w:ascii="Arial Narrow" w:hAnsi="Arial Narrow"/>
                <w:b/>
                <w:noProof/>
              </w:rPr>
              <w:t>1.1.3.</w:t>
            </w:r>
            <w:r w:rsidR="00552574" w:rsidRPr="005A242A">
              <w:rPr>
                <w:rFonts w:ascii="Arial Narrow" w:hAnsi="Arial Narrow" w:cstheme="minorBidi"/>
                <w:noProof/>
              </w:rPr>
              <w:tab/>
            </w:r>
            <w:r w:rsidR="00552574" w:rsidRPr="005A242A">
              <w:rPr>
                <w:rStyle w:val="Hipervnculo"/>
                <w:rFonts w:ascii="Arial Narrow" w:hAnsi="Arial Narrow"/>
                <w:b/>
                <w:noProof/>
              </w:rPr>
              <w:t xml:space="preserve">Análisis del </w:t>
            </w:r>
            <w:r w:rsidR="009D7771" w:rsidRPr="005A242A">
              <w:rPr>
                <w:rStyle w:val="Hipervnculo"/>
                <w:rFonts w:ascii="Arial Narrow" w:hAnsi="Arial Narrow"/>
                <w:b/>
                <w:noProof/>
              </w:rPr>
              <w:t>Artículo</w:t>
            </w:r>
            <w:r w:rsidR="00552574" w:rsidRPr="005A242A">
              <w:rPr>
                <w:rStyle w:val="Hipervnculo"/>
                <w:rFonts w:ascii="Arial Narrow" w:hAnsi="Arial Narrow"/>
                <w:b/>
                <w:noProof/>
              </w:rPr>
              <w:t xml:space="preserve"> 122 y sus respectivas fracciones</w:t>
            </w:r>
            <w:r w:rsidR="00552574" w:rsidRPr="005A242A">
              <w:rPr>
                <w:rFonts w:ascii="Arial Narrow" w:hAnsi="Arial Narrow"/>
                <w:noProof/>
                <w:webHidden/>
              </w:rPr>
              <w:tab/>
            </w:r>
            <w:r w:rsidR="00552574" w:rsidRPr="005A242A">
              <w:rPr>
                <w:rFonts w:ascii="Arial Narrow" w:hAnsi="Arial Narrow"/>
                <w:noProof/>
                <w:webHidden/>
              </w:rPr>
              <w:fldChar w:fldCharType="begin"/>
            </w:r>
            <w:r w:rsidR="00552574" w:rsidRPr="005A242A">
              <w:rPr>
                <w:rFonts w:ascii="Arial Narrow" w:hAnsi="Arial Narrow"/>
                <w:noProof/>
                <w:webHidden/>
              </w:rPr>
              <w:instrText xml:space="preserve"> PAGEREF _Toc14293715 \h </w:instrText>
            </w:r>
            <w:r w:rsidR="00552574" w:rsidRPr="005A242A">
              <w:rPr>
                <w:rFonts w:ascii="Arial Narrow" w:hAnsi="Arial Narrow"/>
                <w:noProof/>
                <w:webHidden/>
              </w:rPr>
            </w:r>
            <w:r w:rsidR="00552574" w:rsidRPr="005A242A">
              <w:rPr>
                <w:rFonts w:ascii="Arial Narrow" w:hAnsi="Arial Narrow"/>
                <w:noProof/>
                <w:webHidden/>
              </w:rPr>
              <w:fldChar w:fldCharType="separate"/>
            </w:r>
            <w:r w:rsidR="00CE28A8">
              <w:rPr>
                <w:rFonts w:ascii="Arial Narrow" w:hAnsi="Arial Narrow"/>
                <w:noProof/>
                <w:webHidden/>
              </w:rPr>
              <w:t>25</w:t>
            </w:r>
            <w:r w:rsidR="00552574" w:rsidRPr="005A242A">
              <w:rPr>
                <w:rFonts w:ascii="Arial Narrow" w:hAnsi="Arial Narrow"/>
                <w:noProof/>
                <w:webHidden/>
              </w:rPr>
              <w:fldChar w:fldCharType="end"/>
            </w:r>
          </w:hyperlink>
        </w:p>
        <w:p w:rsidR="00552574" w:rsidRPr="005A242A" w:rsidRDefault="007C0694">
          <w:pPr>
            <w:pStyle w:val="TDC3"/>
            <w:tabs>
              <w:tab w:val="left" w:pos="1320"/>
              <w:tab w:val="right" w:leader="dot" w:pos="8828"/>
            </w:tabs>
            <w:rPr>
              <w:rFonts w:ascii="Arial Narrow" w:hAnsi="Arial Narrow" w:cstheme="minorBidi"/>
              <w:noProof/>
            </w:rPr>
          </w:pPr>
          <w:hyperlink w:anchor="_Toc14293716" w:history="1">
            <w:r w:rsidR="00552574" w:rsidRPr="005A242A">
              <w:rPr>
                <w:rStyle w:val="Hipervnculo"/>
                <w:rFonts w:ascii="Arial Narrow" w:hAnsi="Arial Narrow"/>
                <w:b/>
                <w:noProof/>
              </w:rPr>
              <w:t>1.1.4.</w:t>
            </w:r>
            <w:r w:rsidR="00552574" w:rsidRPr="005A242A">
              <w:rPr>
                <w:rFonts w:ascii="Arial Narrow" w:hAnsi="Arial Narrow" w:cstheme="minorBidi"/>
                <w:noProof/>
              </w:rPr>
              <w:tab/>
            </w:r>
            <w:r w:rsidR="00552574" w:rsidRPr="005A242A">
              <w:rPr>
                <w:rStyle w:val="Hipervnculo"/>
                <w:rFonts w:ascii="Arial Narrow" w:hAnsi="Arial Narrow"/>
                <w:b/>
                <w:noProof/>
              </w:rPr>
              <w:t xml:space="preserve">Análisis del </w:t>
            </w:r>
            <w:r w:rsidR="009D7771" w:rsidRPr="005A242A">
              <w:rPr>
                <w:rStyle w:val="Hipervnculo"/>
                <w:rFonts w:ascii="Arial Narrow" w:hAnsi="Arial Narrow"/>
                <w:b/>
                <w:noProof/>
              </w:rPr>
              <w:t>Artículo</w:t>
            </w:r>
            <w:r w:rsidR="00552574" w:rsidRPr="005A242A">
              <w:rPr>
                <w:rStyle w:val="Hipervnculo"/>
                <w:rFonts w:ascii="Arial Narrow" w:hAnsi="Arial Narrow"/>
                <w:b/>
                <w:noProof/>
              </w:rPr>
              <w:t xml:space="preserve"> 123 y sus respectivas fracciones</w:t>
            </w:r>
            <w:r w:rsidR="00552574" w:rsidRPr="005A242A">
              <w:rPr>
                <w:rFonts w:ascii="Arial Narrow" w:hAnsi="Arial Narrow"/>
                <w:noProof/>
                <w:webHidden/>
              </w:rPr>
              <w:tab/>
            </w:r>
            <w:r w:rsidR="00552574" w:rsidRPr="005A242A">
              <w:rPr>
                <w:rFonts w:ascii="Arial Narrow" w:hAnsi="Arial Narrow"/>
                <w:noProof/>
                <w:webHidden/>
              </w:rPr>
              <w:fldChar w:fldCharType="begin"/>
            </w:r>
            <w:r w:rsidR="00552574" w:rsidRPr="005A242A">
              <w:rPr>
                <w:rFonts w:ascii="Arial Narrow" w:hAnsi="Arial Narrow"/>
                <w:noProof/>
                <w:webHidden/>
              </w:rPr>
              <w:instrText xml:space="preserve"> PAGEREF _Toc14293716 \h </w:instrText>
            </w:r>
            <w:r w:rsidR="00552574" w:rsidRPr="005A242A">
              <w:rPr>
                <w:rFonts w:ascii="Arial Narrow" w:hAnsi="Arial Narrow"/>
                <w:noProof/>
                <w:webHidden/>
              </w:rPr>
            </w:r>
            <w:r w:rsidR="00552574" w:rsidRPr="005A242A">
              <w:rPr>
                <w:rFonts w:ascii="Arial Narrow" w:hAnsi="Arial Narrow"/>
                <w:noProof/>
                <w:webHidden/>
              </w:rPr>
              <w:fldChar w:fldCharType="separate"/>
            </w:r>
            <w:r w:rsidR="00CE28A8">
              <w:rPr>
                <w:rFonts w:ascii="Arial Narrow" w:hAnsi="Arial Narrow"/>
                <w:noProof/>
                <w:webHidden/>
              </w:rPr>
              <w:t>26</w:t>
            </w:r>
            <w:r w:rsidR="00552574" w:rsidRPr="005A242A">
              <w:rPr>
                <w:rFonts w:ascii="Arial Narrow" w:hAnsi="Arial Narrow"/>
                <w:noProof/>
                <w:webHidden/>
              </w:rPr>
              <w:fldChar w:fldCharType="end"/>
            </w:r>
          </w:hyperlink>
        </w:p>
        <w:p w:rsidR="00552574" w:rsidRPr="005A242A" w:rsidRDefault="007C0694">
          <w:pPr>
            <w:pStyle w:val="TDC3"/>
            <w:tabs>
              <w:tab w:val="left" w:pos="1320"/>
              <w:tab w:val="right" w:leader="dot" w:pos="8828"/>
            </w:tabs>
            <w:rPr>
              <w:rFonts w:ascii="Arial Narrow" w:hAnsi="Arial Narrow" w:cstheme="minorBidi"/>
              <w:noProof/>
            </w:rPr>
          </w:pPr>
          <w:hyperlink w:anchor="_Toc14293717" w:history="1">
            <w:r w:rsidR="00552574" w:rsidRPr="005A242A">
              <w:rPr>
                <w:rStyle w:val="Hipervnculo"/>
                <w:rFonts w:ascii="Arial Narrow" w:hAnsi="Arial Narrow"/>
                <w:b/>
                <w:noProof/>
              </w:rPr>
              <w:t>1.1.5.</w:t>
            </w:r>
            <w:r w:rsidR="00552574" w:rsidRPr="005A242A">
              <w:rPr>
                <w:rFonts w:ascii="Arial Narrow" w:hAnsi="Arial Narrow" w:cstheme="minorBidi"/>
                <w:noProof/>
              </w:rPr>
              <w:tab/>
            </w:r>
            <w:r w:rsidR="00552574" w:rsidRPr="005A242A">
              <w:rPr>
                <w:rStyle w:val="Hipervnculo"/>
                <w:rFonts w:ascii="Arial Narrow" w:hAnsi="Arial Narrow"/>
                <w:b/>
                <w:noProof/>
              </w:rPr>
              <w:t xml:space="preserve">Análisis del </w:t>
            </w:r>
            <w:r w:rsidR="009D7771" w:rsidRPr="005A242A">
              <w:rPr>
                <w:rStyle w:val="Hipervnculo"/>
                <w:rFonts w:ascii="Arial Narrow" w:hAnsi="Arial Narrow"/>
                <w:b/>
                <w:noProof/>
              </w:rPr>
              <w:t>Artículo</w:t>
            </w:r>
            <w:r w:rsidR="00552574" w:rsidRPr="005A242A">
              <w:rPr>
                <w:rStyle w:val="Hipervnculo"/>
                <w:rFonts w:ascii="Arial Narrow" w:hAnsi="Arial Narrow"/>
                <w:b/>
                <w:noProof/>
              </w:rPr>
              <w:t xml:space="preserve"> 143</w:t>
            </w:r>
            <w:r w:rsidR="00552574" w:rsidRPr="005A242A">
              <w:rPr>
                <w:rFonts w:ascii="Arial Narrow" w:hAnsi="Arial Narrow"/>
                <w:noProof/>
                <w:webHidden/>
              </w:rPr>
              <w:tab/>
            </w:r>
            <w:r w:rsidR="00552574" w:rsidRPr="005A242A">
              <w:rPr>
                <w:rFonts w:ascii="Arial Narrow" w:hAnsi="Arial Narrow"/>
                <w:noProof/>
                <w:webHidden/>
              </w:rPr>
              <w:fldChar w:fldCharType="begin"/>
            </w:r>
            <w:r w:rsidR="00552574" w:rsidRPr="005A242A">
              <w:rPr>
                <w:rFonts w:ascii="Arial Narrow" w:hAnsi="Arial Narrow"/>
                <w:noProof/>
                <w:webHidden/>
              </w:rPr>
              <w:instrText xml:space="preserve"> PAGEREF _Toc14293717 \h </w:instrText>
            </w:r>
            <w:r w:rsidR="00552574" w:rsidRPr="005A242A">
              <w:rPr>
                <w:rFonts w:ascii="Arial Narrow" w:hAnsi="Arial Narrow"/>
                <w:noProof/>
                <w:webHidden/>
              </w:rPr>
            </w:r>
            <w:r w:rsidR="00552574" w:rsidRPr="005A242A">
              <w:rPr>
                <w:rFonts w:ascii="Arial Narrow" w:hAnsi="Arial Narrow"/>
                <w:noProof/>
                <w:webHidden/>
              </w:rPr>
              <w:fldChar w:fldCharType="separate"/>
            </w:r>
            <w:r w:rsidR="00CE28A8">
              <w:rPr>
                <w:rFonts w:ascii="Arial Narrow" w:hAnsi="Arial Narrow"/>
                <w:noProof/>
                <w:webHidden/>
              </w:rPr>
              <w:t>28</w:t>
            </w:r>
            <w:r w:rsidR="00552574" w:rsidRPr="005A242A">
              <w:rPr>
                <w:rFonts w:ascii="Arial Narrow" w:hAnsi="Arial Narrow"/>
                <w:noProof/>
                <w:webHidden/>
              </w:rPr>
              <w:fldChar w:fldCharType="end"/>
            </w:r>
          </w:hyperlink>
        </w:p>
        <w:p w:rsidR="00552574" w:rsidRPr="005A242A" w:rsidRDefault="007C0694">
          <w:pPr>
            <w:pStyle w:val="TDC3"/>
            <w:tabs>
              <w:tab w:val="left" w:pos="1320"/>
              <w:tab w:val="right" w:leader="dot" w:pos="8828"/>
            </w:tabs>
            <w:rPr>
              <w:rFonts w:ascii="Arial Narrow" w:hAnsi="Arial Narrow" w:cstheme="minorBidi"/>
              <w:noProof/>
            </w:rPr>
          </w:pPr>
          <w:hyperlink w:anchor="_Toc14293718" w:history="1">
            <w:r w:rsidR="00552574" w:rsidRPr="005A242A">
              <w:rPr>
                <w:rStyle w:val="Hipervnculo"/>
                <w:rFonts w:ascii="Arial Narrow" w:hAnsi="Arial Narrow"/>
                <w:b/>
                <w:noProof/>
              </w:rPr>
              <w:t>1.1.6.</w:t>
            </w:r>
            <w:r w:rsidR="00552574" w:rsidRPr="005A242A">
              <w:rPr>
                <w:rFonts w:ascii="Arial Narrow" w:hAnsi="Arial Narrow" w:cstheme="minorBidi"/>
                <w:noProof/>
              </w:rPr>
              <w:tab/>
            </w:r>
            <w:r w:rsidR="00552574" w:rsidRPr="005A242A">
              <w:rPr>
                <w:rStyle w:val="Hipervnculo"/>
                <w:rFonts w:ascii="Arial Narrow" w:hAnsi="Arial Narrow"/>
                <w:b/>
                <w:noProof/>
              </w:rPr>
              <w:t xml:space="preserve">Análisis del </w:t>
            </w:r>
            <w:r w:rsidR="009D7771" w:rsidRPr="005A242A">
              <w:rPr>
                <w:rStyle w:val="Hipervnculo"/>
                <w:rFonts w:ascii="Arial Narrow" w:hAnsi="Arial Narrow"/>
                <w:b/>
                <w:noProof/>
              </w:rPr>
              <w:t>Artículo</w:t>
            </w:r>
            <w:r w:rsidR="00552574" w:rsidRPr="005A242A">
              <w:rPr>
                <w:rStyle w:val="Hipervnculo"/>
                <w:rFonts w:ascii="Arial Narrow" w:hAnsi="Arial Narrow"/>
                <w:b/>
                <w:noProof/>
              </w:rPr>
              <w:t xml:space="preserve"> 145</w:t>
            </w:r>
            <w:r w:rsidR="00552574" w:rsidRPr="005A242A">
              <w:rPr>
                <w:rFonts w:ascii="Arial Narrow" w:hAnsi="Arial Narrow"/>
                <w:noProof/>
                <w:webHidden/>
              </w:rPr>
              <w:tab/>
            </w:r>
            <w:r w:rsidR="00552574" w:rsidRPr="005A242A">
              <w:rPr>
                <w:rFonts w:ascii="Arial Narrow" w:hAnsi="Arial Narrow"/>
                <w:noProof/>
                <w:webHidden/>
              </w:rPr>
              <w:fldChar w:fldCharType="begin"/>
            </w:r>
            <w:r w:rsidR="00552574" w:rsidRPr="005A242A">
              <w:rPr>
                <w:rFonts w:ascii="Arial Narrow" w:hAnsi="Arial Narrow"/>
                <w:noProof/>
                <w:webHidden/>
              </w:rPr>
              <w:instrText xml:space="preserve"> PAGEREF _Toc14293718 \h </w:instrText>
            </w:r>
            <w:r w:rsidR="00552574" w:rsidRPr="005A242A">
              <w:rPr>
                <w:rFonts w:ascii="Arial Narrow" w:hAnsi="Arial Narrow"/>
                <w:noProof/>
                <w:webHidden/>
              </w:rPr>
            </w:r>
            <w:r w:rsidR="00552574" w:rsidRPr="005A242A">
              <w:rPr>
                <w:rFonts w:ascii="Arial Narrow" w:hAnsi="Arial Narrow"/>
                <w:noProof/>
                <w:webHidden/>
              </w:rPr>
              <w:fldChar w:fldCharType="separate"/>
            </w:r>
            <w:r w:rsidR="00CE28A8">
              <w:rPr>
                <w:rFonts w:ascii="Arial Narrow" w:hAnsi="Arial Narrow"/>
                <w:noProof/>
                <w:webHidden/>
              </w:rPr>
              <w:t>29</w:t>
            </w:r>
            <w:r w:rsidR="00552574" w:rsidRPr="005A242A">
              <w:rPr>
                <w:rFonts w:ascii="Arial Narrow" w:hAnsi="Arial Narrow"/>
                <w:noProof/>
                <w:webHidden/>
              </w:rPr>
              <w:fldChar w:fldCharType="end"/>
            </w:r>
          </w:hyperlink>
        </w:p>
        <w:p w:rsidR="00552574" w:rsidRPr="005A242A" w:rsidRDefault="007C0694">
          <w:pPr>
            <w:pStyle w:val="TDC3"/>
            <w:tabs>
              <w:tab w:val="left" w:pos="1320"/>
              <w:tab w:val="right" w:leader="dot" w:pos="8828"/>
            </w:tabs>
            <w:rPr>
              <w:rFonts w:ascii="Arial Narrow" w:hAnsi="Arial Narrow" w:cstheme="minorBidi"/>
              <w:noProof/>
            </w:rPr>
          </w:pPr>
          <w:hyperlink w:anchor="_Toc14293719" w:history="1">
            <w:r w:rsidR="00552574" w:rsidRPr="005A242A">
              <w:rPr>
                <w:rStyle w:val="Hipervnculo"/>
                <w:rFonts w:ascii="Arial Narrow" w:hAnsi="Arial Narrow"/>
                <w:b/>
                <w:noProof/>
              </w:rPr>
              <w:t>1.1.7.</w:t>
            </w:r>
            <w:r w:rsidR="00552574" w:rsidRPr="005A242A">
              <w:rPr>
                <w:rFonts w:ascii="Arial Narrow" w:hAnsi="Arial Narrow" w:cstheme="minorBidi"/>
                <w:noProof/>
              </w:rPr>
              <w:tab/>
            </w:r>
            <w:r w:rsidR="00552574" w:rsidRPr="005A242A">
              <w:rPr>
                <w:rStyle w:val="Hipervnculo"/>
                <w:rFonts w:ascii="Arial Narrow" w:hAnsi="Arial Narrow"/>
                <w:b/>
                <w:noProof/>
              </w:rPr>
              <w:t xml:space="preserve">Análisis del </w:t>
            </w:r>
            <w:r w:rsidR="009D7771" w:rsidRPr="005A242A">
              <w:rPr>
                <w:rStyle w:val="Hipervnculo"/>
                <w:rFonts w:ascii="Arial Narrow" w:hAnsi="Arial Narrow"/>
                <w:b/>
                <w:noProof/>
              </w:rPr>
              <w:t>Artículo</w:t>
            </w:r>
            <w:r w:rsidR="00552574" w:rsidRPr="005A242A">
              <w:rPr>
                <w:rStyle w:val="Hipervnculo"/>
                <w:rFonts w:ascii="Arial Narrow" w:hAnsi="Arial Narrow"/>
                <w:b/>
                <w:noProof/>
              </w:rPr>
              <w:t xml:space="preserve"> 146</w:t>
            </w:r>
            <w:r w:rsidR="00552574" w:rsidRPr="005A242A">
              <w:rPr>
                <w:rFonts w:ascii="Arial Narrow" w:hAnsi="Arial Narrow"/>
                <w:noProof/>
                <w:webHidden/>
              </w:rPr>
              <w:tab/>
            </w:r>
            <w:r w:rsidR="00552574" w:rsidRPr="005A242A">
              <w:rPr>
                <w:rFonts w:ascii="Arial Narrow" w:hAnsi="Arial Narrow"/>
                <w:noProof/>
                <w:webHidden/>
              </w:rPr>
              <w:fldChar w:fldCharType="begin"/>
            </w:r>
            <w:r w:rsidR="00552574" w:rsidRPr="005A242A">
              <w:rPr>
                <w:rFonts w:ascii="Arial Narrow" w:hAnsi="Arial Narrow"/>
                <w:noProof/>
                <w:webHidden/>
              </w:rPr>
              <w:instrText xml:space="preserve"> PAGEREF _Toc14293719 \h </w:instrText>
            </w:r>
            <w:r w:rsidR="00552574" w:rsidRPr="005A242A">
              <w:rPr>
                <w:rFonts w:ascii="Arial Narrow" w:hAnsi="Arial Narrow"/>
                <w:noProof/>
                <w:webHidden/>
              </w:rPr>
            </w:r>
            <w:r w:rsidR="00552574" w:rsidRPr="005A242A">
              <w:rPr>
                <w:rFonts w:ascii="Arial Narrow" w:hAnsi="Arial Narrow"/>
                <w:noProof/>
                <w:webHidden/>
              </w:rPr>
              <w:fldChar w:fldCharType="separate"/>
            </w:r>
            <w:r w:rsidR="00CE28A8">
              <w:rPr>
                <w:rFonts w:ascii="Arial Narrow" w:hAnsi="Arial Narrow"/>
                <w:noProof/>
                <w:webHidden/>
              </w:rPr>
              <w:t>30</w:t>
            </w:r>
            <w:r w:rsidR="00552574" w:rsidRPr="005A242A">
              <w:rPr>
                <w:rFonts w:ascii="Arial Narrow" w:hAnsi="Arial Narrow"/>
                <w:noProof/>
                <w:webHidden/>
              </w:rPr>
              <w:fldChar w:fldCharType="end"/>
            </w:r>
          </w:hyperlink>
        </w:p>
        <w:p w:rsidR="00552574" w:rsidRPr="005A242A" w:rsidRDefault="007C0694">
          <w:pPr>
            <w:pStyle w:val="TDC3"/>
            <w:tabs>
              <w:tab w:val="left" w:pos="1320"/>
              <w:tab w:val="right" w:leader="dot" w:pos="8828"/>
            </w:tabs>
            <w:rPr>
              <w:rFonts w:ascii="Arial Narrow" w:hAnsi="Arial Narrow" w:cstheme="minorBidi"/>
              <w:noProof/>
            </w:rPr>
          </w:pPr>
          <w:hyperlink w:anchor="_Toc14293720" w:history="1">
            <w:r w:rsidR="00552574" w:rsidRPr="005A242A">
              <w:rPr>
                <w:rStyle w:val="Hipervnculo"/>
                <w:rFonts w:ascii="Arial Narrow" w:hAnsi="Arial Narrow"/>
                <w:b/>
                <w:noProof/>
              </w:rPr>
              <w:t>1.1.8.</w:t>
            </w:r>
            <w:r w:rsidR="00552574" w:rsidRPr="005A242A">
              <w:rPr>
                <w:rFonts w:ascii="Arial Narrow" w:hAnsi="Arial Narrow" w:cstheme="minorBidi"/>
                <w:noProof/>
              </w:rPr>
              <w:tab/>
            </w:r>
            <w:r w:rsidR="00552574" w:rsidRPr="005A242A">
              <w:rPr>
                <w:rStyle w:val="Hipervnculo"/>
                <w:rFonts w:ascii="Arial Narrow" w:hAnsi="Arial Narrow"/>
                <w:b/>
                <w:noProof/>
              </w:rPr>
              <w:t xml:space="preserve">Análisis del </w:t>
            </w:r>
            <w:r w:rsidR="009D7771" w:rsidRPr="005A242A">
              <w:rPr>
                <w:rStyle w:val="Hipervnculo"/>
                <w:rFonts w:ascii="Arial Narrow" w:hAnsi="Arial Narrow"/>
                <w:b/>
                <w:noProof/>
              </w:rPr>
              <w:t>Artículo</w:t>
            </w:r>
            <w:r w:rsidR="00552574" w:rsidRPr="005A242A">
              <w:rPr>
                <w:rStyle w:val="Hipervnculo"/>
                <w:rFonts w:ascii="Arial Narrow" w:hAnsi="Arial Narrow"/>
                <w:b/>
                <w:noProof/>
              </w:rPr>
              <w:t xml:space="preserve"> 147</w:t>
            </w:r>
            <w:r w:rsidR="00552574" w:rsidRPr="005A242A">
              <w:rPr>
                <w:rFonts w:ascii="Arial Narrow" w:hAnsi="Arial Narrow"/>
                <w:noProof/>
                <w:webHidden/>
              </w:rPr>
              <w:tab/>
            </w:r>
            <w:r w:rsidR="00552574" w:rsidRPr="005A242A">
              <w:rPr>
                <w:rFonts w:ascii="Arial Narrow" w:hAnsi="Arial Narrow"/>
                <w:noProof/>
                <w:webHidden/>
              </w:rPr>
              <w:fldChar w:fldCharType="begin"/>
            </w:r>
            <w:r w:rsidR="00552574" w:rsidRPr="005A242A">
              <w:rPr>
                <w:rFonts w:ascii="Arial Narrow" w:hAnsi="Arial Narrow"/>
                <w:noProof/>
                <w:webHidden/>
              </w:rPr>
              <w:instrText xml:space="preserve"> PAGEREF _Toc14293720 \h </w:instrText>
            </w:r>
            <w:r w:rsidR="00552574" w:rsidRPr="005A242A">
              <w:rPr>
                <w:rFonts w:ascii="Arial Narrow" w:hAnsi="Arial Narrow"/>
                <w:noProof/>
                <w:webHidden/>
              </w:rPr>
            </w:r>
            <w:r w:rsidR="00552574" w:rsidRPr="005A242A">
              <w:rPr>
                <w:rFonts w:ascii="Arial Narrow" w:hAnsi="Arial Narrow"/>
                <w:noProof/>
                <w:webHidden/>
              </w:rPr>
              <w:fldChar w:fldCharType="separate"/>
            </w:r>
            <w:r w:rsidR="00CE28A8">
              <w:rPr>
                <w:rFonts w:ascii="Arial Narrow" w:hAnsi="Arial Narrow"/>
                <w:noProof/>
                <w:webHidden/>
              </w:rPr>
              <w:t>31</w:t>
            </w:r>
            <w:r w:rsidR="00552574" w:rsidRPr="005A242A">
              <w:rPr>
                <w:rFonts w:ascii="Arial Narrow" w:hAnsi="Arial Narrow"/>
                <w:noProof/>
                <w:webHidden/>
              </w:rPr>
              <w:fldChar w:fldCharType="end"/>
            </w:r>
          </w:hyperlink>
        </w:p>
        <w:p w:rsidR="00552574" w:rsidRPr="005A242A" w:rsidRDefault="007C0694">
          <w:pPr>
            <w:pStyle w:val="TDC2"/>
            <w:tabs>
              <w:tab w:val="left" w:pos="880"/>
              <w:tab w:val="right" w:leader="dot" w:pos="8828"/>
            </w:tabs>
            <w:rPr>
              <w:rFonts w:ascii="Arial Narrow" w:hAnsi="Arial Narrow" w:cstheme="minorBidi"/>
              <w:noProof/>
            </w:rPr>
          </w:pPr>
          <w:hyperlink w:anchor="_Toc14293721" w:history="1">
            <w:r w:rsidR="00552574" w:rsidRPr="005A242A">
              <w:rPr>
                <w:rStyle w:val="Hipervnculo"/>
                <w:rFonts w:ascii="Arial Narrow" w:hAnsi="Arial Narrow"/>
                <w:b/>
                <w:noProof/>
              </w:rPr>
              <w:t>1.2.</w:t>
            </w:r>
            <w:r w:rsidR="00552574" w:rsidRPr="005A242A">
              <w:rPr>
                <w:rFonts w:ascii="Arial Narrow" w:hAnsi="Arial Narrow" w:cstheme="minorBidi"/>
                <w:noProof/>
              </w:rPr>
              <w:tab/>
            </w:r>
            <w:r w:rsidR="00552574" w:rsidRPr="005A242A">
              <w:rPr>
                <w:rStyle w:val="Hipervnculo"/>
                <w:rFonts w:ascii="Arial Narrow" w:hAnsi="Arial Narrow"/>
                <w:b/>
                <w:noProof/>
              </w:rPr>
              <w:t>ÓRGANOS DESCONCENTRADOS</w:t>
            </w:r>
            <w:r w:rsidR="00552574" w:rsidRPr="005A242A">
              <w:rPr>
                <w:rFonts w:ascii="Arial Narrow" w:hAnsi="Arial Narrow"/>
                <w:noProof/>
                <w:webHidden/>
              </w:rPr>
              <w:tab/>
            </w:r>
            <w:r w:rsidR="00552574" w:rsidRPr="005A242A">
              <w:rPr>
                <w:rFonts w:ascii="Arial Narrow" w:hAnsi="Arial Narrow"/>
                <w:noProof/>
                <w:webHidden/>
              </w:rPr>
              <w:fldChar w:fldCharType="begin"/>
            </w:r>
            <w:r w:rsidR="00552574" w:rsidRPr="005A242A">
              <w:rPr>
                <w:rFonts w:ascii="Arial Narrow" w:hAnsi="Arial Narrow"/>
                <w:noProof/>
                <w:webHidden/>
              </w:rPr>
              <w:instrText xml:space="preserve"> PAGEREF _Toc14293721 \h </w:instrText>
            </w:r>
            <w:r w:rsidR="00552574" w:rsidRPr="005A242A">
              <w:rPr>
                <w:rFonts w:ascii="Arial Narrow" w:hAnsi="Arial Narrow"/>
                <w:noProof/>
                <w:webHidden/>
              </w:rPr>
            </w:r>
            <w:r w:rsidR="00552574" w:rsidRPr="005A242A">
              <w:rPr>
                <w:rFonts w:ascii="Arial Narrow" w:hAnsi="Arial Narrow"/>
                <w:noProof/>
                <w:webHidden/>
              </w:rPr>
              <w:fldChar w:fldCharType="separate"/>
            </w:r>
            <w:r w:rsidR="00CE28A8">
              <w:rPr>
                <w:rFonts w:ascii="Arial Narrow" w:hAnsi="Arial Narrow"/>
                <w:noProof/>
                <w:webHidden/>
              </w:rPr>
              <w:t>33</w:t>
            </w:r>
            <w:r w:rsidR="00552574" w:rsidRPr="005A242A">
              <w:rPr>
                <w:rFonts w:ascii="Arial Narrow" w:hAnsi="Arial Narrow"/>
                <w:noProof/>
                <w:webHidden/>
              </w:rPr>
              <w:fldChar w:fldCharType="end"/>
            </w:r>
          </w:hyperlink>
        </w:p>
        <w:p w:rsidR="00552574" w:rsidRPr="005A242A" w:rsidRDefault="007C0694">
          <w:pPr>
            <w:pStyle w:val="TDC3"/>
            <w:tabs>
              <w:tab w:val="left" w:pos="1320"/>
              <w:tab w:val="right" w:leader="dot" w:pos="8828"/>
            </w:tabs>
            <w:rPr>
              <w:rFonts w:ascii="Arial Narrow" w:hAnsi="Arial Narrow" w:cstheme="minorBidi"/>
              <w:noProof/>
            </w:rPr>
          </w:pPr>
          <w:hyperlink w:anchor="_Toc14293722" w:history="1">
            <w:r w:rsidR="00552574" w:rsidRPr="005A242A">
              <w:rPr>
                <w:rStyle w:val="Hipervnculo"/>
                <w:rFonts w:ascii="Arial Narrow" w:hAnsi="Arial Narrow"/>
                <w:b/>
                <w:noProof/>
              </w:rPr>
              <w:t>1.2.1.</w:t>
            </w:r>
            <w:r w:rsidR="00552574" w:rsidRPr="005A242A">
              <w:rPr>
                <w:rFonts w:ascii="Arial Narrow" w:hAnsi="Arial Narrow" w:cstheme="minorBidi"/>
                <w:noProof/>
              </w:rPr>
              <w:tab/>
            </w:r>
            <w:r w:rsidR="00552574" w:rsidRPr="005A242A">
              <w:rPr>
                <w:rStyle w:val="Hipervnculo"/>
                <w:rFonts w:ascii="Arial Narrow" w:hAnsi="Arial Narrow"/>
                <w:b/>
                <w:noProof/>
              </w:rPr>
              <w:t>Análisis global de cumplimiento de los Órganos Desconcentrados</w:t>
            </w:r>
            <w:r w:rsidR="00552574" w:rsidRPr="005A242A">
              <w:rPr>
                <w:rFonts w:ascii="Arial Narrow" w:hAnsi="Arial Narrow"/>
                <w:noProof/>
                <w:webHidden/>
              </w:rPr>
              <w:tab/>
            </w:r>
            <w:r w:rsidR="00552574" w:rsidRPr="005A242A">
              <w:rPr>
                <w:rFonts w:ascii="Arial Narrow" w:hAnsi="Arial Narrow"/>
                <w:noProof/>
                <w:webHidden/>
              </w:rPr>
              <w:fldChar w:fldCharType="begin"/>
            </w:r>
            <w:r w:rsidR="00552574" w:rsidRPr="005A242A">
              <w:rPr>
                <w:rFonts w:ascii="Arial Narrow" w:hAnsi="Arial Narrow"/>
                <w:noProof/>
                <w:webHidden/>
              </w:rPr>
              <w:instrText xml:space="preserve"> PAGEREF _Toc14293722 \h </w:instrText>
            </w:r>
            <w:r w:rsidR="00552574" w:rsidRPr="005A242A">
              <w:rPr>
                <w:rFonts w:ascii="Arial Narrow" w:hAnsi="Arial Narrow"/>
                <w:noProof/>
                <w:webHidden/>
              </w:rPr>
            </w:r>
            <w:r w:rsidR="00552574" w:rsidRPr="005A242A">
              <w:rPr>
                <w:rFonts w:ascii="Arial Narrow" w:hAnsi="Arial Narrow"/>
                <w:noProof/>
                <w:webHidden/>
              </w:rPr>
              <w:fldChar w:fldCharType="separate"/>
            </w:r>
            <w:r w:rsidR="00CE28A8">
              <w:rPr>
                <w:rFonts w:ascii="Arial Narrow" w:hAnsi="Arial Narrow"/>
                <w:noProof/>
                <w:webHidden/>
              </w:rPr>
              <w:t>35</w:t>
            </w:r>
            <w:r w:rsidR="00552574" w:rsidRPr="005A242A">
              <w:rPr>
                <w:rFonts w:ascii="Arial Narrow" w:hAnsi="Arial Narrow"/>
                <w:noProof/>
                <w:webHidden/>
              </w:rPr>
              <w:fldChar w:fldCharType="end"/>
            </w:r>
          </w:hyperlink>
        </w:p>
        <w:p w:rsidR="00552574" w:rsidRPr="005A242A" w:rsidRDefault="007C0694">
          <w:pPr>
            <w:pStyle w:val="TDC3"/>
            <w:tabs>
              <w:tab w:val="left" w:pos="1320"/>
              <w:tab w:val="right" w:leader="dot" w:pos="8828"/>
            </w:tabs>
            <w:rPr>
              <w:rFonts w:ascii="Arial Narrow" w:hAnsi="Arial Narrow" w:cstheme="minorBidi"/>
              <w:noProof/>
            </w:rPr>
          </w:pPr>
          <w:hyperlink w:anchor="_Toc14293723" w:history="1">
            <w:r w:rsidR="00552574" w:rsidRPr="005A242A">
              <w:rPr>
                <w:rStyle w:val="Hipervnculo"/>
                <w:rFonts w:ascii="Arial Narrow" w:hAnsi="Arial Narrow"/>
                <w:b/>
                <w:noProof/>
              </w:rPr>
              <w:t>1.2.2.</w:t>
            </w:r>
            <w:r w:rsidR="00552574" w:rsidRPr="005A242A">
              <w:rPr>
                <w:rFonts w:ascii="Arial Narrow" w:hAnsi="Arial Narrow" w:cstheme="minorBidi"/>
                <w:noProof/>
              </w:rPr>
              <w:tab/>
            </w:r>
            <w:r w:rsidR="00552574" w:rsidRPr="005A242A">
              <w:rPr>
                <w:rStyle w:val="Hipervnculo"/>
                <w:rFonts w:ascii="Arial Narrow" w:hAnsi="Arial Narrow"/>
                <w:b/>
                <w:noProof/>
              </w:rPr>
              <w:t xml:space="preserve">Análisis del </w:t>
            </w:r>
            <w:r w:rsidR="009D7771" w:rsidRPr="005A242A">
              <w:rPr>
                <w:rStyle w:val="Hipervnculo"/>
                <w:rFonts w:ascii="Arial Narrow" w:hAnsi="Arial Narrow"/>
                <w:b/>
                <w:noProof/>
              </w:rPr>
              <w:t>Artículo</w:t>
            </w:r>
            <w:r w:rsidR="00552574" w:rsidRPr="005A242A">
              <w:rPr>
                <w:rStyle w:val="Hipervnculo"/>
                <w:rFonts w:ascii="Arial Narrow" w:hAnsi="Arial Narrow"/>
                <w:b/>
                <w:noProof/>
              </w:rPr>
              <w:t xml:space="preserve"> 121 y sus respectivas fracciones</w:t>
            </w:r>
            <w:r w:rsidR="00552574" w:rsidRPr="005A242A">
              <w:rPr>
                <w:rFonts w:ascii="Arial Narrow" w:hAnsi="Arial Narrow"/>
                <w:noProof/>
                <w:webHidden/>
              </w:rPr>
              <w:tab/>
            </w:r>
            <w:r w:rsidR="00552574" w:rsidRPr="005A242A">
              <w:rPr>
                <w:rFonts w:ascii="Arial Narrow" w:hAnsi="Arial Narrow"/>
                <w:noProof/>
                <w:webHidden/>
              </w:rPr>
              <w:fldChar w:fldCharType="begin"/>
            </w:r>
            <w:r w:rsidR="00552574" w:rsidRPr="005A242A">
              <w:rPr>
                <w:rFonts w:ascii="Arial Narrow" w:hAnsi="Arial Narrow"/>
                <w:noProof/>
                <w:webHidden/>
              </w:rPr>
              <w:instrText xml:space="preserve"> PAGEREF _Toc14293723 \h </w:instrText>
            </w:r>
            <w:r w:rsidR="00552574" w:rsidRPr="005A242A">
              <w:rPr>
                <w:rFonts w:ascii="Arial Narrow" w:hAnsi="Arial Narrow"/>
                <w:noProof/>
                <w:webHidden/>
              </w:rPr>
            </w:r>
            <w:r w:rsidR="00552574" w:rsidRPr="005A242A">
              <w:rPr>
                <w:rFonts w:ascii="Arial Narrow" w:hAnsi="Arial Narrow"/>
                <w:noProof/>
                <w:webHidden/>
              </w:rPr>
              <w:fldChar w:fldCharType="separate"/>
            </w:r>
            <w:r w:rsidR="00CE28A8">
              <w:rPr>
                <w:rFonts w:ascii="Arial Narrow" w:hAnsi="Arial Narrow"/>
                <w:noProof/>
                <w:webHidden/>
              </w:rPr>
              <w:t>37</w:t>
            </w:r>
            <w:r w:rsidR="00552574" w:rsidRPr="005A242A">
              <w:rPr>
                <w:rFonts w:ascii="Arial Narrow" w:hAnsi="Arial Narrow"/>
                <w:noProof/>
                <w:webHidden/>
              </w:rPr>
              <w:fldChar w:fldCharType="end"/>
            </w:r>
          </w:hyperlink>
        </w:p>
        <w:p w:rsidR="00552574" w:rsidRPr="005A242A" w:rsidRDefault="007C0694">
          <w:pPr>
            <w:pStyle w:val="TDC3"/>
            <w:tabs>
              <w:tab w:val="left" w:pos="1320"/>
              <w:tab w:val="right" w:leader="dot" w:pos="8828"/>
            </w:tabs>
            <w:rPr>
              <w:rFonts w:ascii="Arial Narrow" w:hAnsi="Arial Narrow" w:cstheme="minorBidi"/>
              <w:noProof/>
            </w:rPr>
          </w:pPr>
          <w:hyperlink w:anchor="_Toc14293724" w:history="1">
            <w:r w:rsidR="00552574" w:rsidRPr="005A242A">
              <w:rPr>
                <w:rStyle w:val="Hipervnculo"/>
                <w:rFonts w:ascii="Arial Narrow" w:hAnsi="Arial Narrow"/>
                <w:b/>
                <w:noProof/>
              </w:rPr>
              <w:t>1.2.3.</w:t>
            </w:r>
            <w:r w:rsidR="00552574" w:rsidRPr="005A242A">
              <w:rPr>
                <w:rFonts w:ascii="Arial Narrow" w:hAnsi="Arial Narrow" w:cstheme="minorBidi"/>
                <w:noProof/>
              </w:rPr>
              <w:tab/>
            </w:r>
            <w:r w:rsidR="00552574" w:rsidRPr="005A242A">
              <w:rPr>
                <w:rStyle w:val="Hipervnculo"/>
                <w:rFonts w:ascii="Arial Narrow" w:hAnsi="Arial Narrow"/>
                <w:b/>
                <w:noProof/>
              </w:rPr>
              <w:t xml:space="preserve">Análisis del </w:t>
            </w:r>
            <w:r w:rsidR="009D7771" w:rsidRPr="005A242A">
              <w:rPr>
                <w:rStyle w:val="Hipervnculo"/>
                <w:rFonts w:ascii="Arial Narrow" w:hAnsi="Arial Narrow"/>
                <w:b/>
                <w:noProof/>
              </w:rPr>
              <w:t>Artículo</w:t>
            </w:r>
            <w:r w:rsidR="00552574" w:rsidRPr="005A242A">
              <w:rPr>
                <w:rStyle w:val="Hipervnculo"/>
                <w:rFonts w:ascii="Arial Narrow" w:hAnsi="Arial Narrow"/>
                <w:b/>
                <w:noProof/>
              </w:rPr>
              <w:t xml:space="preserve"> 123 y sus respectivas fracciones</w:t>
            </w:r>
            <w:r w:rsidR="00552574" w:rsidRPr="005A242A">
              <w:rPr>
                <w:rFonts w:ascii="Arial Narrow" w:hAnsi="Arial Narrow"/>
                <w:noProof/>
                <w:webHidden/>
              </w:rPr>
              <w:tab/>
            </w:r>
            <w:bookmarkStart w:id="2" w:name="_GoBack"/>
            <w:bookmarkEnd w:id="2"/>
            <w:r w:rsidR="00552574" w:rsidRPr="005A242A">
              <w:rPr>
                <w:rFonts w:ascii="Arial Narrow" w:hAnsi="Arial Narrow"/>
                <w:noProof/>
                <w:webHidden/>
              </w:rPr>
              <w:fldChar w:fldCharType="begin"/>
            </w:r>
            <w:r w:rsidR="00552574" w:rsidRPr="005A242A">
              <w:rPr>
                <w:rFonts w:ascii="Arial Narrow" w:hAnsi="Arial Narrow"/>
                <w:noProof/>
                <w:webHidden/>
              </w:rPr>
              <w:instrText xml:space="preserve"> PAGEREF _Toc14293724 \h </w:instrText>
            </w:r>
            <w:r w:rsidR="00552574" w:rsidRPr="005A242A">
              <w:rPr>
                <w:rFonts w:ascii="Arial Narrow" w:hAnsi="Arial Narrow"/>
                <w:noProof/>
                <w:webHidden/>
              </w:rPr>
            </w:r>
            <w:r w:rsidR="00552574" w:rsidRPr="005A242A">
              <w:rPr>
                <w:rFonts w:ascii="Arial Narrow" w:hAnsi="Arial Narrow"/>
                <w:noProof/>
                <w:webHidden/>
              </w:rPr>
              <w:fldChar w:fldCharType="separate"/>
            </w:r>
            <w:r w:rsidR="00CE28A8">
              <w:rPr>
                <w:rFonts w:ascii="Arial Narrow" w:hAnsi="Arial Narrow"/>
                <w:noProof/>
                <w:webHidden/>
              </w:rPr>
              <w:t>39</w:t>
            </w:r>
            <w:r w:rsidR="00552574" w:rsidRPr="005A242A">
              <w:rPr>
                <w:rFonts w:ascii="Arial Narrow" w:hAnsi="Arial Narrow"/>
                <w:noProof/>
                <w:webHidden/>
              </w:rPr>
              <w:fldChar w:fldCharType="end"/>
            </w:r>
          </w:hyperlink>
        </w:p>
        <w:p w:rsidR="00552574" w:rsidRPr="005A242A" w:rsidRDefault="007C0694">
          <w:pPr>
            <w:pStyle w:val="TDC3"/>
            <w:tabs>
              <w:tab w:val="left" w:pos="1320"/>
              <w:tab w:val="right" w:leader="dot" w:pos="8828"/>
            </w:tabs>
            <w:rPr>
              <w:rFonts w:ascii="Arial Narrow" w:hAnsi="Arial Narrow" w:cstheme="minorBidi"/>
              <w:noProof/>
            </w:rPr>
          </w:pPr>
          <w:hyperlink w:anchor="_Toc14293725" w:history="1">
            <w:r w:rsidR="00552574" w:rsidRPr="005A242A">
              <w:rPr>
                <w:rStyle w:val="Hipervnculo"/>
                <w:rFonts w:ascii="Arial Narrow" w:hAnsi="Arial Narrow"/>
                <w:b/>
                <w:noProof/>
              </w:rPr>
              <w:t>1.2.4.</w:t>
            </w:r>
            <w:r w:rsidR="00552574" w:rsidRPr="005A242A">
              <w:rPr>
                <w:rFonts w:ascii="Arial Narrow" w:hAnsi="Arial Narrow" w:cstheme="minorBidi"/>
                <w:noProof/>
              </w:rPr>
              <w:tab/>
            </w:r>
            <w:r w:rsidR="00552574" w:rsidRPr="005A242A">
              <w:rPr>
                <w:rStyle w:val="Hipervnculo"/>
                <w:rFonts w:ascii="Arial Narrow" w:hAnsi="Arial Narrow"/>
                <w:b/>
                <w:noProof/>
              </w:rPr>
              <w:t xml:space="preserve">Análisis del </w:t>
            </w:r>
            <w:r w:rsidR="009D7771" w:rsidRPr="005A242A">
              <w:rPr>
                <w:rStyle w:val="Hipervnculo"/>
                <w:rFonts w:ascii="Arial Narrow" w:hAnsi="Arial Narrow"/>
                <w:b/>
                <w:noProof/>
              </w:rPr>
              <w:t>Artículo</w:t>
            </w:r>
            <w:r w:rsidR="00552574" w:rsidRPr="005A242A">
              <w:rPr>
                <w:rStyle w:val="Hipervnculo"/>
                <w:rFonts w:ascii="Arial Narrow" w:hAnsi="Arial Narrow"/>
                <w:b/>
                <w:noProof/>
              </w:rPr>
              <w:t xml:space="preserve"> 143</w:t>
            </w:r>
            <w:r w:rsidR="00552574" w:rsidRPr="005A242A">
              <w:rPr>
                <w:rFonts w:ascii="Arial Narrow" w:hAnsi="Arial Narrow"/>
                <w:noProof/>
                <w:webHidden/>
              </w:rPr>
              <w:tab/>
            </w:r>
            <w:r w:rsidR="00552574" w:rsidRPr="005A242A">
              <w:rPr>
                <w:rFonts w:ascii="Arial Narrow" w:hAnsi="Arial Narrow"/>
                <w:noProof/>
                <w:webHidden/>
              </w:rPr>
              <w:fldChar w:fldCharType="begin"/>
            </w:r>
            <w:r w:rsidR="00552574" w:rsidRPr="005A242A">
              <w:rPr>
                <w:rFonts w:ascii="Arial Narrow" w:hAnsi="Arial Narrow"/>
                <w:noProof/>
                <w:webHidden/>
              </w:rPr>
              <w:instrText xml:space="preserve"> PAGEREF _Toc14293725 \h </w:instrText>
            </w:r>
            <w:r w:rsidR="00552574" w:rsidRPr="005A242A">
              <w:rPr>
                <w:rFonts w:ascii="Arial Narrow" w:hAnsi="Arial Narrow"/>
                <w:noProof/>
                <w:webHidden/>
              </w:rPr>
            </w:r>
            <w:r w:rsidR="00552574" w:rsidRPr="005A242A">
              <w:rPr>
                <w:rFonts w:ascii="Arial Narrow" w:hAnsi="Arial Narrow"/>
                <w:noProof/>
                <w:webHidden/>
              </w:rPr>
              <w:fldChar w:fldCharType="separate"/>
            </w:r>
            <w:r w:rsidR="00CE28A8">
              <w:rPr>
                <w:rFonts w:ascii="Arial Narrow" w:hAnsi="Arial Narrow"/>
                <w:noProof/>
                <w:webHidden/>
              </w:rPr>
              <w:t>40</w:t>
            </w:r>
            <w:r w:rsidR="00552574" w:rsidRPr="005A242A">
              <w:rPr>
                <w:rFonts w:ascii="Arial Narrow" w:hAnsi="Arial Narrow"/>
                <w:noProof/>
                <w:webHidden/>
              </w:rPr>
              <w:fldChar w:fldCharType="end"/>
            </w:r>
          </w:hyperlink>
        </w:p>
        <w:p w:rsidR="00552574" w:rsidRPr="005A242A" w:rsidRDefault="007C0694">
          <w:pPr>
            <w:pStyle w:val="TDC3"/>
            <w:tabs>
              <w:tab w:val="left" w:pos="1320"/>
              <w:tab w:val="right" w:leader="dot" w:pos="8828"/>
            </w:tabs>
            <w:rPr>
              <w:rFonts w:ascii="Arial Narrow" w:hAnsi="Arial Narrow" w:cstheme="minorBidi"/>
              <w:noProof/>
            </w:rPr>
          </w:pPr>
          <w:hyperlink w:anchor="_Toc14293726" w:history="1">
            <w:r w:rsidR="00552574" w:rsidRPr="005A242A">
              <w:rPr>
                <w:rStyle w:val="Hipervnculo"/>
                <w:rFonts w:ascii="Arial Narrow" w:hAnsi="Arial Narrow"/>
                <w:b/>
                <w:noProof/>
              </w:rPr>
              <w:t>1.2.5.</w:t>
            </w:r>
            <w:r w:rsidR="00552574" w:rsidRPr="005A242A">
              <w:rPr>
                <w:rFonts w:ascii="Arial Narrow" w:hAnsi="Arial Narrow" w:cstheme="minorBidi"/>
                <w:noProof/>
              </w:rPr>
              <w:tab/>
            </w:r>
            <w:r w:rsidR="00552574" w:rsidRPr="005A242A">
              <w:rPr>
                <w:rStyle w:val="Hipervnculo"/>
                <w:rFonts w:ascii="Arial Narrow" w:hAnsi="Arial Narrow"/>
                <w:b/>
                <w:noProof/>
              </w:rPr>
              <w:t xml:space="preserve">Análisis del </w:t>
            </w:r>
            <w:r w:rsidR="009D7771" w:rsidRPr="005A242A">
              <w:rPr>
                <w:rStyle w:val="Hipervnculo"/>
                <w:rFonts w:ascii="Arial Narrow" w:hAnsi="Arial Narrow"/>
                <w:b/>
                <w:noProof/>
              </w:rPr>
              <w:t>Artículo</w:t>
            </w:r>
            <w:r w:rsidR="00552574" w:rsidRPr="005A242A">
              <w:rPr>
                <w:rStyle w:val="Hipervnculo"/>
                <w:rFonts w:ascii="Arial Narrow" w:hAnsi="Arial Narrow"/>
                <w:b/>
                <w:noProof/>
              </w:rPr>
              <w:t xml:space="preserve"> 145</w:t>
            </w:r>
            <w:r w:rsidR="00552574" w:rsidRPr="005A242A">
              <w:rPr>
                <w:rFonts w:ascii="Arial Narrow" w:hAnsi="Arial Narrow"/>
                <w:noProof/>
                <w:webHidden/>
              </w:rPr>
              <w:tab/>
            </w:r>
            <w:r w:rsidR="00552574" w:rsidRPr="005A242A">
              <w:rPr>
                <w:rFonts w:ascii="Arial Narrow" w:hAnsi="Arial Narrow"/>
                <w:noProof/>
                <w:webHidden/>
              </w:rPr>
              <w:fldChar w:fldCharType="begin"/>
            </w:r>
            <w:r w:rsidR="00552574" w:rsidRPr="005A242A">
              <w:rPr>
                <w:rFonts w:ascii="Arial Narrow" w:hAnsi="Arial Narrow"/>
                <w:noProof/>
                <w:webHidden/>
              </w:rPr>
              <w:instrText xml:space="preserve"> PAGEREF _Toc14293726 \h </w:instrText>
            </w:r>
            <w:r w:rsidR="00552574" w:rsidRPr="005A242A">
              <w:rPr>
                <w:rFonts w:ascii="Arial Narrow" w:hAnsi="Arial Narrow"/>
                <w:noProof/>
                <w:webHidden/>
              </w:rPr>
            </w:r>
            <w:r w:rsidR="00552574" w:rsidRPr="005A242A">
              <w:rPr>
                <w:rFonts w:ascii="Arial Narrow" w:hAnsi="Arial Narrow"/>
                <w:noProof/>
                <w:webHidden/>
              </w:rPr>
              <w:fldChar w:fldCharType="separate"/>
            </w:r>
            <w:r w:rsidR="00CE28A8">
              <w:rPr>
                <w:rFonts w:ascii="Arial Narrow" w:hAnsi="Arial Narrow"/>
                <w:noProof/>
                <w:webHidden/>
              </w:rPr>
              <w:t>41</w:t>
            </w:r>
            <w:r w:rsidR="00552574" w:rsidRPr="005A242A">
              <w:rPr>
                <w:rFonts w:ascii="Arial Narrow" w:hAnsi="Arial Narrow"/>
                <w:noProof/>
                <w:webHidden/>
              </w:rPr>
              <w:fldChar w:fldCharType="end"/>
            </w:r>
          </w:hyperlink>
        </w:p>
        <w:p w:rsidR="00552574" w:rsidRPr="005A242A" w:rsidRDefault="007C0694">
          <w:pPr>
            <w:pStyle w:val="TDC3"/>
            <w:tabs>
              <w:tab w:val="left" w:pos="1320"/>
              <w:tab w:val="right" w:leader="dot" w:pos="8828"/>
            </w:tabs>
            <w:rPr>
              <w:rFonts w:ascii="Arial Narrow" w:hAnsi="Arial Narrow" w:cstheme="minorBidi"/>
              <w:noProof/>
            </w:rPr>
          </w:pPr>
          <w:hyperlink w:anchor="_Toc14293727" w:history="1">
            <w:r w:rsidR="00552574" w:rsidRPr="005A242A">
              <w:rPr>
                <w:rStyle w:val="Hipervnculo"/>
                <w:rFonts w:ascii="Arial Narrow" w:hAnsi="Arial Narrow"/>
                <w:b/>
                <w:noProof/>
              </w:rPr>
              <w:t>1.2.6.</w:t>
            </w:r>
            <w:r w:rsidR="00552574" w:rsidRPr="005A242A">
              <w:rPr>
                <w:rFonts w:ascii="Arial Narrow" w:hAnsi="Arial Narrow" w:cstheme="minorBidi"/>
                <w:noProof/>
              </w:rPr>
              <w:tab/>
            </w:r>
            <w:r w:rsidR="00552574" w:rsidRPr="005A242A">
              <w:rPr>
                <w:rStyle w:val="Hipervnculo"/>
                <w:rFonts w:ascii="Arial Narrow" w:hAnsi="Arial Narrow"/>
                <w:b/>
                <w:noProof/>
              </w:rPr>
              <w:t xml:space="preserve">Análisis del </w:t>
            </w:r>
            <w:r w:rsidR="009D7771" w:rsidRPr="005A242A">
              <w:rPr>
                <w:rStyle w:val="Hipervnculo"/>
                <w:rFonts w:ascii="Arial Narrow" w:hAnsi="Arial Narrow"/>
                <w:b/>
                <w:noProof/>
              </w:rPr>
              <w:t>Artículo</w:t>
            </w:r>
            <w:r w:rsidR="00552574" w:rsidRPr="005A242A">
              <w:rPr>
                <w:rStyle w:val="Hipervnculo"/>
                <w:rFonts w:ascii="Arial Narrow" w:hAnsi="Arial Narrow"/>
                <w:b/>
                <w:noProof/>
              </w:rPr>
              <w:t xml:space="preserve"> 146</w:t>
            </w:r>
            <w:r w:rsidR="00552574" w:rsidRPr="005A242A">
              <w:rPr>
                <w:rFonts w:ascii="Arial Narrow" w:hAnsi="Arial Narrow"/>
                <w:noProof/>
                <w:webHidden/>
              </w:rPr>
              <w:tab/>
            </w:r>
            <w:r w:rsidR="00552574" w:rsidRPr="005A242A">
              <w:rPr>
                <w:rFonts w:ascii="Arial Narrow" w:hAnsi="Arial Narrow"/>
                <w:noProof/>
                <w:webHidden/>
              </w:rPr>
              <w:fldChar w:fldCharType="begin"/>
            </w:r>
            <w:r w:rsidR="00552574" w:rsidRPr="005A242A">
              <w:rPr>
                <w:rFonts w:ascii="Arial Narrow" w:hAnsi="Arial Narrow"/>
                <w:noProof/>
                <w:webHidden/>
              </w:rPr>
              <w:instrText xml:space="preserve"> PAGEREF _Toc14293727 \h </w:instrText>
            </w:r>
            <w:r w:rsidR="00552574" w:rsidRPr="005A242A">
              <w:rPr>
                <w:rFonts w:ascii="Arial Narrow" w:hAnsi="Arial Narrow"/>
                <w:noProof/>
                <w:webHidden/>
              </w:rPr>
            </w:r>
            <w:r w:rsidR="00552574" w:rsidRPr="005A242A">
              <w:rPr>
                <w:rFonts w:ascii="Arial Narrow" w:hAnsi="Arial Narrow"/>
                <w:noProof/>
                <w:webHidden/>
              </w:rPr>
              <w:fldChar w:fldCharType="separate"/>
            </w:r>
            <w:r w:rsidR="00CE28A8">
              <w:rPr>
                <w:rFonts w:ascii="Arial Narrow" w:hAnsi="Arial Narrow"/>
                <w:noProof/>
                <w:webHidden/>
              </w:rPr>
              <w:t>41</w:t>
            </w:r>
            <w:r w:rsidR="00552574" w:rsidRPr="005A242A">
              <w:rPr>
                <w:rFonts w:ascii="Arial Narrow" w:hAnsi="Arial Narrow"/>
                <w:noProof/>
                <w:webHidden/>
              </w:rPr>
              <w:fldChar w:fldCharType="end"/>
            </w:r>
          </w:hyperlink>
        </w:p>
        <w:p w:rsidR="00552574" w:rsidRPr="005A242A" w:rsidRDefault="007C0694">
          <w:pPr>
            <w:pStyle w:val="TDC3"/>
            <w:tabs>
              <w:tab w:val="left" w:pos="1320"/>
              <w:tab w:val="right" w:leader="dot" w:pos="8828"/>
            </w:tabs>
            <w:rPr>
              <w:rFonts w:ascii="Arial Narrow" w:hAnsi="Arial Narrow" w:cstheme="minorBidi"/>
              <w:noProof/>
            </w:rPr>
          </w:pPr>
          <w:hyperlink w:anchor="_Toc14293728" w:history="1">
            <w:r w:rsidR="00552574" w:rsidRPr="005A242A">
              <w:rPr>
                <w:rStyle w:val="Hipervnculo"/>
                <w:rFonts w:ascii="Arial Narrow" w:hAnsi="Arial Narrow"/>
                <w:b/>
                <w:noProof/>
              </w:rPr>
              <w:t>1.2.7.</w:t>
            </w:r>
            <w:r w:rsidR="00552574" w:rsidRPr="005A242A">
              <w:rPr>
                <w:rFonts w:ascii="Arial Narrow" w:hAnsi="Arial Narrow" w:cstheme="minorBidi"/>
                <w:noProof/>
              </w:rPr>
              <w:tab/>
            </w:r>
            <w:r w:rsidR="00552574" w:rsidRPr="005A242A">
              <w:rPr>
                <w:rStyle w:val="Hipervnculo"/>
                <w:rFonts w:ascii="Arial Narrow" w:hAnsi="Arial Narrow"/>
                <w:b/>
                <w:noProof/>
              </w:rPr>
              <w:t xml:space="preserve">Análisis del </w:t>
            </w:r>
            <w:r w:rsidR="009D7771" w:rsidRPr="005A242A">
              <w:rPr>
                <w:rStyle w:val="Hipervnculo"/>
                <w:rFonts w:ascii="Arial Narrow" w:hAnsi="Arial Narrow"/>
                <w:b/>
                <w:noProof/>
              </w:rPr>
              <w:t>Artículo</w:t>
            </w:r>
            <w:r w:rsidR="00552574" w:rsidRPr="005A242A">
              <w:rPr>
                <w:rStyle w:val="Hipervnculo"/>
                <w:rFonts w:ascii="Arial Narrow" w:hAnsi="Arial Narrow"/>
                <w:b/>
                <w:noProof/>
              </w:rPr>
              <w:t xml:space="preserve"> 147</w:t>
            </w:r>
            <w:r w:rsidR="00552574" w:rsidRPr="005A242A">
              <w:rPr>
                <w:rFonts w:ascii="Arial Narrow" w:hAnsi="Arial Narrow"/>
                <w:noProof/>
                <w:webHidden/>
              </w:rPr>
              <w:tab/>
            </w:r>
            <w:r w:rsidR="00552574" w:rsidRPr="005A242A">
              <w:rPr>
                <w:rFonts w:ascii="Arial Narrow" w:hAnsi="Arial Narrow"/>
                <w:noProof/>
                <w:webHidden/>
              </w:rPr>
              <w:fldChar w:fldCharType="begin"/>
            </w:r>
            <w:r w:rsidR="00552574" w:rsidRPr="005A242A">
              <w:rPr>
                <w:rFonts w:ascii="Arial Narrow" w:hAnsi="Arial Narrow"/>
                <w:noProof/>
                <w:webHidden/>
              </w:rPr>
              <w:instrText xml:space="preserve"> PAGEREF _Toc14293728 \h </w:instrText>
            </w:r>
            <w:r w:rsidR="00552574" w:rsidRPr="005A242A">
              <w:rPr>
                <w:rFonts w:ascii="Arial Narrow" w:hAnsi="Arial Narrow"/>
                <w:noProof/>
                <w:webHidden/>
              </w:rPr>
            </w:r>
            <w:r w:rsidR="00552574" w:rsidRPr="005A242A">
              <w:rPr>
                <w:rFonts w:ascii="Arial Narrow" w:hAnsi="Arial Narrow"/>
                <w:noProof/>
                <w:webHidden/>
              </w:rPr>
              <w:fldChar w:fldCharType="separate"/>
            </w:r>
            <w:r w:rsidR="00CE28A8">
              <w:rPr>
                <w:rFonts w:ascii="Arial Narrow" w:hAnsi="Arial Narrow"/>
                <w:noProof/>
                <w:webHidden/>
              </w:rPr>
              <w:t>42</w:t>
            </w:r>
            <w:r w:rsidR="00552574" w:rsidRPr="005A242A">
              <w:rPr>
                <w:rFonts w:ascii="Arial Narrow" w:hAnsi="Arial Narrow"/>
                <w:noProof/>
                <w:webHidden/>
              </w:rPr>
              <w:fldChar w:fldCharType="end"/>
            </w:r>
          </w:hyperlink>
        </w:p>
        <w:p w:rsidR="00552574" w:rsidRPr="005A242A" w:rsidRDefault="007C0694">
          <w:pPr>
            <w:pStyle w:val="TDC2"/>
            <w:tabs>
              <w:tab w:val="right" w:leader="dot" w:pos="8828"/>
            </w:tabs>
            <w:rPr>
              <w:rFonts w:ascii="Arial Narrow" w:hAnsi="Arial Narrow" w:cstheme="minorBidi"/>
              <w:noProof/>
            </w:rPr>
          </w:pPr>
          <w:hyperlink w:anchor="_Toc14293729" w:history="1">
            <w:r w:rsidR="00552574" w:rsidRPr="005A242A">
              <w:rPr>
                <w:rStyle w:val="Hipervnculo"/>
                <w:rFonts w:ascii="Arial Narrow" w:hAnsi="Arial Narrow"/>
                <w:b/>
                <w:noProof/>
              </w:rPr>
              <w:t>1.3 FIDEICOMISOS Y FONDOS PÚBLICOS</w:t>
            </w:r>
            <w:r w:rsidR="00552574" w:rsidRPr="005A242A">
              <w:rPr>
                <w:rFonts w:ascii="Arial Narrow" w:hAnsi="Arial Narrow"/>
                <w:noProof/>
                <w:webHidden/>
              </w:rPr>
              <w:tab/>
            </w:r>
            <w:r w:rsidR="00552574" w:rsidRPr="005A242A">
              <w:rPr>
                <w:rFonts w:ascii="Arial Narrow" w:hAnsi="Arial Narrow"/>
                <w:noProof/>
                <w:webHidden/>
              </w:rPr>
              <w:fldChar w:fldCharType="begin"/>
            </w:r>
            <w:r w:rsidR="00552574" w:rsidRPr="005A242A">
              <w:rPr>
                <w:rFonts w:ascii="Arial Narrow" w:hAnsi="Arial Narrow"/>
                <w:noProof/>
                <w:webHidden/>
              </w:rPr>
              <w:instrText xml:space="preserve"> PAGEREF _Toc14293729 \h </w:instrText>
            </w:r>
            <w:r w:rsidR="00552574" w:rsidRPr="005A242A">
              <w:rPr>
                <w:rFonts w:ascii="Arial Narrow" w:hAnsi="Arial Narrow"/>
                <w:noProof/>
                <w:webHidden/>
              </w:rPr>
            </w:r>
            <w:r w:rsidR="00552574" w:rsidRPr="005A242A">
              <w:rPr>
                <w:rFonts w:ascii="Arial Narrow" w:hAnsi="Arial Narrow"/>
                <w:noProof/>
                <w:webHidden/>
              </w:rPr>
              <w:fldChar w:fldCharType="separate"/>
            </w:r>
            <w:r w:rsidR="00CE28A8">
              <w:rPr>
                <w:rFonts w:ascii="Arial Narrow" w:hAnsi="Arial Narrow"/>
                <w:noProof/>
                <w:webHidden/>
              </w:rPr>
              <w:t>44</w:t>
            </w:r>
            <w:r w:rsidR="00552574" w:rsidRPr="005A242A">
              <w:rPr>
                <w:rFonts w:ascii="Arial Narrow" w:hAnsi="Arial Narrow"/>
                <w:noProof/>
                <w:webHidden/>
              </w:rPr>
              <w:fldChar w:fldCharType="end"/>
            </w:r>
          </w:hyperlink>
        </w:p>
        <w:p w:rsidR="00552574" w:rsidRPr="005A242A" w:rsidRDefault="007C0694">
          <w:pPr>
            <w:pStyle w:val="TDC3"/>
            <w:tabs>
              <w:tab w:val="left" w:pos="1320"/>
              <w:tab w:val="right" w:leader="dot" w:pos="8828"/>
            </w:tabs>
            <w:rPr>
              <w:rFonts w:ascii="Arial Narrow" w:hAnsi="Arial Narrow" w:cstheme="minorBidi"/>
              <w:noProof/>
            </w:rPr>
          </w:pPr>
          <w:hyperlink w:anchor="_Toc14293730" w:history="1">
            <w:r w:rsidR="00552574" w:rsidRPr="005A242A">
              <w:rPr>
                <w:rStyle w:val="Hipervnculo"/>
                <w:rFonts w:ascii="Arial Narrow" w:hAnsi="Arial Narrow"/>
                <w:b/>
                <w:noProof/>
              </w:rPr>
              <w:t>1.3.1.</w:t>
            </w:r>
            <w:r w:rsidR="00552574" w:rsidRPr="005A242A">
              <w:rPr>
                <w:rFonts w:ascii="Arial Narrow" w:hAnsi="Arial Narrow" w:cstheme="minorBidi"/>
                <w:noProof/>
              </w:rPr>
              <w:tab/>
            </w:r>
            <w:r w:rsidR="00552574" w:rsidRPr="005A242A">
              <w:rPr>
                <w:rStyle w:val="Hipervnculo"/>
                <w:rFonts w:ascii="Arial Narrow" w:hAnsi="Arial Narrow"/>
                <w:b/>
                <w:noProof/>
              </w:rPr>
              <w:t>Análisis global de cumplimiento de los fideicomisos y fondos públicos.</w:t>
            </w:r>
            <w:r w:rsidR="00552574" w:rsidRPr="005A242A">
              <w:rPr>
                <w:rFonts w:ascii="Arial Narrow" w:hAnsi="Arial Narrow"/>
                <w:noProof/>
                <w:webHidden/>
              </w:rPr>
              <w:tab/>
            </w:r>
            <w:r w:rsidR="00552574" w:rsidRPr="005A242A">
              <w:rPr>
                <w:rFonts w:ascii="Arial Narrow" w:hAnsi="Arial Narrow"/>
                <w:noProof/>
                <w:webHidden/>
              </w:rPr>
              <w:fldChar w:fldCharType="begin"/>
            </w:r>
            <w:r w:rsidR="00552574" w:rsidRPr="005A242A">
              <w:rPr>
                <w:rFonts w:ascii="Arial Narrow" w:hAnsi="Arial Narrow"/>
                <w:noProof/>
                <w:webHidden/>
              </w:rPr>
              <w:instrText xml:space="preserve"> PAGEREF _Toc14293730 \h </w:instrText>
            </w:r>
            <w:r w:rsidR="00552574" w:rsidRPr="005A242A">
              <w:rPr>
                <w:rFonts w:ascii="Arial Narrow" w:hAnsi="Arial Narrow"/>
                <w:noProof/>
                <w:webHidden/>
              </w:rPr>
            </w:r>
            <w:r w:rsidR="00552574" w:rsidRPr="005A242A">
              <w:rPr>
                <w:rFonts w:ascii="Arial Narrow" w:hAnsi="Arial Narrow"/>
                <w:noProof/>
                <w:webHidden/>
              </w:rPr>
              <w:fldChar w:fldCharType="separate"/>
            </w:r>
            <w:r w:rsidR="00CE28A8">
              <w:rPr>
                <w:rFonts w:ascii="Arial Narrow" w:hAnsi="Arial Narrow"/>
                <w:noProof/>
                <w:webHidden/>
              </w:rPr>
              <w:t>46</w:t>
            </w:r>
            <w:r w:rsidR="00552574" w:rsidRPr="005A242A">
              <w:rPr>
                <w:rFonts w:ascii="Arial Narrow" w:hAnsi="Arial Narrow"/>
                <w:noProof/>
                <w:webHidden/>
              </w:rPr>
              <w:fldChar w:fldCharType="end"/>
            </w:r>
          </w:hyperlink>
        </w:p>
        <w:p w:rsidR="00552574" w:rsidRPr="005A242A" w:rsidRDefault="007C0694">
          <w:pPr>
            <w:pStyle w:val="TDC3"/>
            <w:tabs>
              <w:tab w:val="left" w:pos="1320"/>
              <w:tab w:val="right" w:leader="dot" w:pos="8828"/>
            </w:tabs>
            <w:rPr>
              <w:rFonts w:ascii="Arial Narrow" w:hAnsi="Arial Narrow" w:cstheme="minorBidi"/>
              <w:noProof/>
            </w:rPr>
          </w:pPr>
          <w:hyperlink w:anchor="_Toc14293731" w:history="1">
            <w:r w:rsidR="00552574" w:rsidRPr="005A242A">
              <w:rPr>
                <w:rStyle w:val="Hipervnculo"/>
                <w:rFonts w:ascii="Arial Narrow" w:hAnsi="Arial Narrow"/>
                <w:b/>
                <w:noProof/>
              </w:rPr>
              <w:t>1.3.2.</w:t>
            </w:r>
            <w:r w:rsidR="00552574" w:rsidRPr="005A242A">
              <w:rPr>
                <w:rFonts w:ascii="Arial Narrow" w:hAnsi="Arial Narrow" w:cstheme="minorBidi"/>
                <w:noProof/>
              </w:rPr>
              <w:tab/>
            </w:r>
            <w:r w:rsidR="00552574" w:rsidRPr="005A242A">
              <w:rPr>
                <w:rStyle w:val="Hipervnculo"/>
                <w:rFonts w:ascii="Arial Narrow" w:hAnsi="Arial Narrow"/>
                <w:b/>
                <w:noProof/>
              </w:rPr>
              <w:t xml:space="preserve">Análisis del </w:t>
            </w:r>
            <w:r w:rsidR="009D7771" w:rsidRPr="005A242A">
              <w:rPr>
                <w:rStyle w:val="Hipervnculo"/>
                <w:rFonts w:ascii="Arial Narrow" w:hAnsi="Arial Narrow"/>
                <w:b/>
                <w:noProof/>
              </w:rPr>
              <w:t>Artículo</w:t>
            </w:r>
            <w:r w:rsidR="00552574" w:rsidRPr="005A242A">
              <w:rPr>
                <w:rStyle w:val="Hipervnculo"/>
                <w:rFonts w:ascii="Arial Narrow" w:hAnsi="Arial Narrow"/>
                <w:b/>
                <w:noProof/>
              </w:rPr>
              <w:t xml:space="preserve"> 121 y sus respectivas fracciones</w:t>
            </w:r>
            <w:r w:rsidR="00552574" w:rsidRPr="005A242A">
              <w:rPr>
                <w:rFonts w:ascii="Arial Narrow" w:hAnsi="Arial Narrow"/>
                <w:noProof/>
                <w:webHidden/>
              </w:rPr>
              <w:tab/>
            </w:r>
            <w:r w:rsidR="00552574" w:rsidRPr="005A242A">
              <w:rPr>
                <w:rFonts w:ascii="Arial Narrow" w:hAnsi="Arial Narrow"/>
                <w:noProof/>
                <w:webHidden/>
              </w:rPr>
              <w:fldChar w:fldCharType="begin"/>
            </w:r>
            <w:r w:rsidR="00552574" w:rsidRPr="005A242A">
              <w:rPr>
                <w:rFonts w:ascii="Arial Narrow" w:hAnsi="Arial Narrow"/>
                <w:noProof/>
                <w:webHidden/>
              </w:rPr>
              <w:instrText xml:space="preserve"> PAGEREF _Toc14293731 \h </w:instrText>
            </w:r>
            <w:r w:rsidR="00552574" w:rsidRPr="005A242A">
              <w:rPr>
                <w:rFonts w:ascii="Arial Narrow" w:hAnsi="Arial Narrow"/>
                <w:noProof/>
                <w:webHidden/>
              </w:rPr>
            </w:r>
            <w:r w:rsidR="00552574" w:rsidRPr="005A242A">
              <w:rPr>
                <w:rFonts w:ascii="Arial Narrow" w:hAnsi="Arial Narrow"/>
                <w:noProof/>
                <w:webHidden/>
              </w:rPr>
              <w:fldChar w:fldCharType="separate"/>
            </w:r>
            <w:r w:rsidR="00CE28A8">
              <w:rPr>
                <w:rFonts w:ascii="Arial Narrow" w:hAnsi="Arial Narrow"/>
                <w:noProof/>
                <w:webHidden/>
              </w:rPr>
              <w:t>47</w:t>
            </w:r>
            <w:r w:rsidR="00552574" w:rsidRPr="005A242A">
              <w:rPr>
                <w:rFonts w:ascii="Arial Narrow" w:hAnsi="Arial Narrow"/>
                <w:noProof/>
                <w:webHidden/>
              </w:rPr>
              <w:fldChar w:fldCharType="end"/>
            </w:r>
          </w:hyperlink>
        </w:p>
        <w:p w:rsidR="00552574" w:rsidRPr="005A242A" w:rsidRDefault="007C0694">
          <w:pPr>
            <w:pStyle w:val="TDC3"/>
            <w:tabs>
              <w:tab w:val="left" w:pos="1320"/>
              <w:tab w:val="right" w:leader="dot" w:pos="8828"/>
            </w:tabs>
            <w:rPr>
              <w:rFonts w:ascii="Arial Narrow" w:hAnsi="Arial Narrow" w:cstheme="minorBidi"/>
              <w:noProof/>
            </w:rPr>
          </w:pPr>
          <w:hyperlink w:anchor="_Toc14293732" w:history="1">
            <w:r w:rsidR="00552574" w:rsidRPr="005A242A">
              <w:rPr>
                <w:rStyle w:val="Hipervnculo"/>
                <w:rFonts w:ascii="Arial Narrow" w:hAnsi="Arial Narrow"/>
                <w:b/>
                <w:noProof/>
              </w:rPr>
              <w:t>1.3.3.</w:t>
            </w:r>
            <w:r w:rsidR="00552574" w:rsidRPr="005A242A">
              <w:rPr>
                <w:rFonts w:ascii="Arial Narrow" w:hAnsi="Arial Narrow" w:cstheme="minorBidi"/>
                <w:noProof/>
              </w:rPr>
              <w:tab/>
            </w:r>
            <w:r w:rsidR="00552574" w:rsidRPr="005A242A">
              <w:rPr>
                <w:rStyle w:val="Hipervnculo"/>
                <w:rFonts w:ascii="Arial Narrow" w:hAnsi="Arial Narrow"/>
                <w:b/>
                <w:noProof/>
              </w:rPr>
              <w:t xml:space="preserve">Análisis del </w:t>
            </w:r>
            <w:r w:rsidR="009D7771" w:rsidRPr="005A242A">
              <w:rPr>
                <w:rStyle w:val="Hipervnculo"/>
                <w:rFonts w:ascii="Arial Narrow" w:hAnsi="Arial Narrow"/>
                <w:b/>
                <w:noProof/>
              </w:rPr>
              <w:t>Artículo</w:t>
            </w:r>
            <w:r w:rsidR="00552574" w:rsidRPr="005A242A">
              <w:rPr>
                <w:rStyle w:val="Hipervnculo"/>
                <w:rFonts w:ascii="Arial Narrow" w:hAnsi="Arial Narrow"/>
                <w:b/>
                <w:noProof/>
              </w:rPr>
              <w:t xml:space="preserve"> 135 y sus respectivas fracciones</w:t>
            </w:r>
            <w:r w:rsidR="00552574" w:rsidRPr="005A242A">
              <w:rPr>
                <w:rFonts w:ascii="Arial Narrow" w:hAnsi="Arial Narrow"/>
                <w:noProof/>
                <w:webHidden/>
              </w:rPr>
              <w:tab/>
            </w:r>
            <w:r w:rsidR="00552574" w:rsidRPr="005A242A">
              <w:rPr>
                <w:rFonts w:ascii="Arial Narrow" w:hAnsi="Arial Narrow"/>
                <w:noProof/>
                <w:webHidden/>
              </w:rPr>
              <w:fldChar w:fldCharType="begin"/>
            </w:r>
            <w:r w:rsidR="00552574" w:rsidRPr="005A242A">
              <w:rPr>
                <w:rFonts w:ascii="Arial Narrow" w:hAnsi="Arial Narrow"/>
                <w:noProof/>
                <w:webHidden/>
              </w:rPr>
              <w:instrText xml:space="preserve"> PAGEREF _Toc14293732 \h </w:instrText>
            </w:r>
            <w:r w:rsidR="00552574" w:rsidRPr="005A242A">
              <w:rPr>
                <w:rFonts w:ascii="Arial Narrow" w:hAnsi="Arial Narrow"/>
                <w:noProof/>
                <w:webHidden/>
              </w:rPr>
            </w:r>
            <w:r w:rsidR="00552574" w:rsidRPr="005A242A">
              <w:rPr>
                <w:rFonts w:ascii="Arial Narrow" w:hAnsi="Arial Narrow"/>
                <w:noProof/>
                <w:webHidden/>
              </w:rPr>
              <w:fldChar w:fldCharType="separate"/>
            </w:r>
            <w:r w:rsidR="00CE28A8">
              <w:rPr>
                <w:rFonts w:ascii="Arial Narrow" w:hAnsi="Arial Narrow"/>
                <w:noProof/>
                <w:webHidden/>
              </w:rPr>
              <w:t>50</w:t>
            </w:r>
            <w:r w:rsidR="00552574" w:rsidRPr="005A242A">
              <w:rPr>
                <w:rFonts w:ascii="Arial Narrow" w:hAnsi="Arial Narrow"/>
                <w:noProof/>
                <w:webHidden/>
              </w:rPr>
              <w:fldChar w:fldCharType="end"/>
            </w:r>
          </w:hyperlink>
        </w:p>
        <w:p w:rsidR="00552574" w:rsidRPr="005A242A" w:rsidRDefault="007C0694">
          <w:pPr>
            <w:pStyle w:val="TDC3"/>
            <w:tabs>
              <w:tab w:val="left" w:pos="1320"/>
              <w:tab w:val="right" w:leader="dot" w:pos="8828"/>
            </w:tabs>
            <w:rPr>
              <w:rFonts w:ascii="Arial Narrow" w:hAnsi="Arial Narrow" w:cstheme="minorBidi"/>
              <w:noProof/>
            </w:rPr>
          </w:pPr>
          <w:hyperlink w:anchor="_Toc14293733" w:history="1">
            <w:r w:rsidR="00552574" w:rsidRPr="005A242A">
              <w:rPr>
                <w:rStyle w:val="Hipervnculo"/>
                <w:rFonts w:ascii="Arial Narrow" w:hAnsi="Arial Narrow"/>
                <w:b/>
                <w:noProof/>
              </w:rPr>
              <w:t>1.3.4.</w:t>
            </w:r>
            <w:r w:rsidR="00552574" w:rsidRPr="005A242A">
              <w:rPr>
                <w:rFonts w:ascii="Arial Narrow" w:hAnsi="Arial Narrow" w:cstheme="minorBidi"/>
                <w:noProof/>
              </w:rPr>
              <w:tab/>
            </w:r>
            <w:r w:rsidR="00552574" w:rsidRPr="005A242A">
              <w:rPr>
                <w:rStyle w:val="Hipervnculo"/>
                <w:rFonts w:ascii="Arial Narrow" w:hAnsi="Arial Narrow"/>
                <w:b/>
                <w:noProof/>
              </w:rPr>
              <w:t xml:space="preserve">Análisis del </w:t>
            </w:r>
            <w:r w:rsidR="009D7771" w:rsidRPr="005A242A">
              <w:rPr>
                <w:rStyle w:val="Hipervnculo"/>
                <w:rFonts w:ascii="Arial Narrow" w:hAnsi="Arial Narrow"/>
                <w:b/>
                <w:noProof/>
              </w:rPr>
              <w:t>Artículo</w:t>
            </w:r>
            <w:r w:rsidR="00552574" w:rsidRPr="005A242A">
              <w:rPr>
                <w:rStyle w:val="Hipervnculo"/>
                <w:rFonts w:ascii="Arial Narrow" w:hAnsi="Arial Narrow"/>
                <w:b/>
                <w:noProof/>
              </w:rPr>
              <w:t xml:space="preserve"> 136</w:t>
            </w:r>
            <w:r w:rsidR="00552574" w:rsidRPr="005A242A">
              <w:rPr>
                <w:rFonts w:ascii="Arial Narrow" w:hAnsi="Arial Narrow"/>
                <w:noProof/>
                <w:webHidden/>
              </w:rPr>
              <w:tab/>
            </w:r>
            <w:r w:rsidR="00552574" w:rsidRPr="005A242A">
              <w:rPr>
                <w:rFonts w:ascii="Arial Narrow" w:hAnsi="Arial Narrow"/>
                <w:noProof/>
                <w:webHidden/>
              </w:rPr>
              <w:fldChar w:fldCharType="begin"/>
            </w:r>
            <w:r w:rsidR="00552574" w:rsidRPr="005A242A">
              <w:rPr>
                <w:rFonts w:ascii="Arial Narrow" w:hAnsi="Arial Narrow"/>
                <w:noProof/>
                <w:webHidden/>
              </w:rPr>
              <w:instrText xml:space="preserve"> PAGEREF _Toc14293733 \h </w:instrText>
            </w:r>
            <w:r w:rsidR="00552574" w:rsidRPr="005A242A">
              <w:rPr>
                <w:rFonts w:ascii="Arial Narrow" w:hAnsi="Arial Narrow"/>
                <w:noProof/>
                <w:webHidden/>
              </w:rPr>
            </w:r>
            <w:r w:rsidR="00552574" w:rsidRPr="005A242A">
              <w:rPr>
                <w:rFonts w:ascii="Arial Narrow" w:hAnsi="Arial Narrow"/>
                <w:noProof/>
                <w:webHidden/>
              </w:rPr>
              <w:fldChar w:fldCharType="separate"/>
            </w:r>
            <w:r w:rsidR="00CE28A8">
              <w:rPr>
                <w:rFonts w:ascii="Arial Narrow" w:hAnsi="Arial Narrow"/>
                <w:noProof/>
                <w:webHidden/>
              </w:rPr>
              <w:t>52</w:t>
            </w:r>
            <w:r w:rsidR="00552574" w:rsidRPr="005A242A">
              <w:rPr>
                <w:rFonts w:ascii="Arial Narrow" w:hAnsi="Arial Narrow"/>
                <w:noProof/>
                <w:webHidden/>
              </w:rPr>
              <w:fldChar w:fldCharType="end"/>
            </w:r>
          </w:hyperlink>
        </w:p>
        <w:p w:rsidR="00552574" w:rsidRPr="005A242A" w:rsidRDefault="007C0694">
          <w:pPr>
            <w:pStyle w:val="TDC3"/>
            <w:tabs>
              <w:tab w:val="left" w:pos="1320"/>
              <w:tab w:val="right" w:leader="dot" w:pos="8828"/>
            </w:tabs>
            <w:rPr>
              <w:rFonts w:ascii="Arial Narrow" w:hAnsi="Arial Narrow" w:cstheme="minorBidi"/>
              <w:noProof/>
            </w:rPr>
          </w:pPr>
          <w:hyperlink w:anchor="_Toc14293734" w:history="1">
            <w:r w:rsidR="00552574" w:rsidRPr="005A242A">
              <w:rPr>
                <w:rStyle w:val="Hipervnculo"/>
                <w:rFonts w:ascii="Arial Narrow" w:hAnsi="Arial Narrow"/>
                <w:b/>
                <w:noProof/>
              </w:rPr>
              <w:t>1.3.5.</w:t>
            </w:r>
            <w:r w:rsidR="00552574" w:rsidRPr="005A242A">
              <w:rPr>
                <w:rFonts w:ascii="Arial Narrow" w:hAnsi="Arial Narrow" w:cstheme="minorBidi"/>
                <w:noProof/>
              </w:rPr>
              <w:tab/>
            </w:r>
            <w:r w:rsidR="00552574" w:rsidRPr="005A242A">
              <w:rPr>
                <w:rStyle w:val="Hipervnculo"/>
                <w:rFonts w:ascii="Arial Narrow" w:hAnsi="Arial Narrow"/>
                <w:b/>
                <w:noProof/>
              </w:rPr>
              <w:t xml:space="preserve">Análisis del </w:t>
            </w:r>
            <w:r w:rsidR="009D7771" w:rsidRPr="005A242A">
              <w:rPr>
                <w:rStyle w:val="Hipervnculo"/>
                <w:rFonts w:ascii="Arial Narrow" w:hAnsi="Arial Narrow"/>
                <w:b/>
                <w:noProof/>
              </w:rPr>
              <w:t>Artículo</w:t>
            </w:r>
            <w:r w:rsidR="00552574" w:rsidRPr="005A242A">
              <w:rPr>
                <w:rStyle w:val="Hipervnculo"/>
                <w:rFonts w:ascii="Arial Narrow" w:hAnsi="Arial Narrow"/>
                <w:b/>
                <w:noProof/>
              </w:rPr>
              <w:t xml:space="preserve"> 143</w:t>
            </w:r>
            <w:r w:rsidR="00552574" w:rsidRPr="005A242A">
              <w:rPr>
                <w:rFonts w:ascii="Arial Narrow" w:hAnsi="Arial Narrow"/>
                <w:noProof/>
                <w:webHidden/>
              </w:rPr>
              <w:tab/>
            </w:r>
            <w:r w:rsidR="00552574" w:rsidRPr="005A242A">
              <w:rPr>
                <w:rFonts w:ascii="Arial Narrow" w:hAnsi="Arial Narrow"/>
                <w:noProof/>
                <w:webHidden/>
              </w:rPr>
              <w:fldChar w:fldCharType="begin"/>
            </w:r>
            <w:r w:rsidR="00552574" w:rsidRPr="005A242A">
              <w:rPr>
                <w:rFonts w:ascii="Arial Narrow" w:hAnsi="Arial Narrow"/>
                <w:noProof/>
                <w:webHidden/>
              </w:rPr>
              <w:instrText xml:space="preserve"> PAGEREF _Toc14293734 \h </w:instrText>
            </w:r>
            <w:r w:rsidR="00552574" w:rsidRPr="005A242A">
              <w:rPr>
                <w:rFonts w:ascii="Arial Narrow" w:hAnsi="Arial Narrow"/>
                <w:noProof/>
                <w:webHidden/>
              </w:rPr>
            </w:r>
            <w:r w:rsidR="00552574" w:rsidRPr="005A242A">
              <w:rPr>
                <w:rFonts w:ascii="Arial Narrow" w:hAnsi="Arial Narrow"/>
                <w:noProof/>
                <w:webHidden/>
              </w:rPr>
              <w:fldChar w:fldCharType="separate"/>
            </w:r>
            <w:r w:rsidR="00CE28A8">
              <w:rPr>
                <w:rFonts w:ascii="Arial Narrow" w:hAnsi="Arial Narrow"/>
                <w:noProof/>
                <w:webHidden/>
              </w:rPr>
              <w:t>53</w:t>
            </w:r>
            <w:r w:rsidR="00552574" w:rsidRPr="005A242A">
              <w:rPr>
                <w:rFonts w:ascii="Arial Narrow" w:hAnsi="Arial Narrow"/>
                <w:noProof/>
                <w:webHidden/>
              </w:rPr>
              <w:fldChar w:fldCharType="end"/>
            </w:r>
          </w:hyperlink>
        </w:p>
        <w:p w:rsidR="00552574" w:rsidRPr="005A242A" w:rsidRDefault="007C0694">
          <w:pPr>
            <w:pStyle w:val="TDC3"/>
            <w:tabs>
              <w:tab w:val="left" w:pos="1320"/>
              <w:tab w:val="right" w:leader="dot" w:pos="8828"/>
            </w:tabs>
            <w:rPr>
              <w:rFonts w:ascii="Arial Narrow" w:hAnsi="Arial Narrow" w:cstheme="minorBidi"/>
              <w:noProof/>
            </w:rPr>
          </w:pPr>
          <w:hyperlink w:anchor="_Toc14293735" w:history="1">
            <w:r w:rsidR="00552574" w:rsidRPr="005A242A">
              <w:rPr>
                <w:rStyle w:val="Hipervnculo"/>
                <w:rFonts w:ascii="Arial Narrow" w:hAnsi="Arial Narrow"/>
                <w:b/>
                <w:noProof/>
              </w:rPr>
              <w:t>1.3.6.</w:t>
            </w:r>
            <w:r w:rsidR="00552574" w:rsidRPr="005A242A">
              <w:rPr>
                <w:rFonts w:ascii="Arial Narrow" w:hAnsi="Arial Narrow" w:cstheme="minorBidi"/>
                <w:noProof/>
              </w:rPr>
              <w:tab/>
            </w:r>
            <w:r w:rsidR="00552574" w:rsidRPr="005A242A">
              <w:rPr>
                <w:rStyle w:val="Hipervnculo"/>
                <w:rFonts w:ascii="Arial Narrow" w:hAnsi="Arial Narrow"/>
                <w:b/>
                <w:noProof/>
              </w:rPr>
              <w:t xml:space="preserve">Análisis del </w:t>
            </w:r>
            <w:r w:rsidR="009D7771" w:rsidRPr="005A242A">
              <w:rPr>
                <w:rStyle w:val="Hipervnculo"/>
                <w:rFonts w:ascii="Arial Narrow" w:hAnsi="Arial Narrow"/>
                <w:b/>
                <w:noProof/>
              </w:rPr>
              <w:t>Artículo</w:t>
            </w:r>
            <w:r w:rsidR="00552574" w:rsidRPr="005A242A">
              <w:rPr>
                <w:rStyle w:val="Hipervnculo"/>
                <w:rFonts w:ascii="Arial Narrow" w:hAnsi="Arial Narrow"/>
                <w:b/>
                <w:noProof/>
              </w:rPr>
              <w:t xml:space="preserve"> 145</w:t>
            </w:r>
            <w:r w:rsidR="00552574" w:rsidRPr="005A242A">
              <w:rPr>
                <w:rFonts w:ascii="Arial Narrow" w:hAnsi="Arial Narrow"/>
                <w:noProof/>
                <w:webHidden/>
              </w:rPr>
              <w:tab/>
            </w:r>
            <w:r w:rsidR="00552574" w:rsidRPr="005A242A">
              <w:rPr>
                <w:rFonts w:ascii="Arial Narrow" w:hAnsi="Arial Narrow"/>
                <w:noProof/>
                <w:webHidden/>
              </w:rPr>
              <w:fldChar w:fldCharType="begin"/>
            </w:r>
            <w:r w:rsidR="00552574" w:rsidRPr="005A242A">
              <w:rPr>
                <w:rFonts w:ascii="Arial Narrow" w:hAnsi="Arial Narrow"/>
                <w:noProof/>
                <w:webHidden/>
              </w:rPr>
              <w:instrText xml:space="preserve"> PAGEREF _Toc14293735 \h </w:instrText>
            </w:r>
            <w:r w:rsidR="00552574" w:rsidRPr="005A242A">
              <w:rPr>
                <w:rFonts w:ascii="Arial Narrow" w:hAnsi="Arial Narrow"/>
                <w:noProof/>
                <w:webHidden/>
              </w:rPr>
            </w:r>
            <w:r w:rsidR="00552574" w:rsidRPr="005A242A">
              <w:rPr>
                <w:rFonts w:ascii="Arial Narrow" w:hAnsi="Arial Narrow"/>
                <w:noProof/>
                <w:webHidden/>
              </w:rPr>
              <w:fldChar w:fldCharType="separate"/>
            </w:r>
            <w:r w:rsidR="00CE28A8">
              <w:rPr>
                <w:rFonts w:ascii="Arial Narrow" w:hAnsi="Arial Narrow"/>
                <w:noProof/>
                <w:webHidden/>
              </w:rPr>
              <w:t>54</w:t>
            </w:r>
            <w:r w:rsidR="00552574" w:rsidRPr="005A242A">
              <w:rPr>
                <w:rFonts w:ascii="Arial Narrow" w:hAnsi="Arial Narrow"/>
                <w:noProof/>
                <w:webHidden/>
              </w:rPr>
              <w:fldChar w:fldCharType="end"/>
            </w:r>
          </w:hyperlink>
        </w:p>
        <w:p w:rsidR="00552574" w:rsidRPr="005A242A" w:rsidRDefault="007C0694">
          <w:pPr>
            <w:pStyle w:val="TDC3"/>
            <w:tabs>
              <w:tab w:val="left" w:pos="1320"/>
              <w:tab w:val="right" w:leader="dot" w:pos="8828"/>
            </w:tabs>
            <w:rPr>
              <w:rFonts w:ascii="Arial Narrow" w:hAnsi="Arial Narrow" w:cstheme="minorBidi"/>
              <w:noProof/>
            </w:rPr>
          </w:pPr>
          <w:hyperlink w:anchor="_Toc14293736" w:history="1">
            <w:r w:rsidR="00552574" w:rsidRPr="005A242A">
              <w:rPr>
                <w:rStyle w:val="Hipervnculo"/>
                <w:rFonts w:ascii="Arial Narrow" w:hAnsi="Arial Narrow"/>
                <w:b/>
                <w:noProof/>
              </w:rPr>
              <w:t>1.3.7.</w:t>
            </w:r>
            <w:r w:rsidR="00552574" w:rsidRPr="005A242A">
              <w:rPr>
                <w:rFonts w:ascii="Arial Narrow" w:hAnsi="Arial Narrow" w:cstheme="minorBidi"/>
                <w:noProof/>
              </w:rPr>
              <w:tab/>
            </w:r>
            <w:r w:rsidR="00552574" w:rsidRPr="005A242A">
              <w:rPr>
                <w:rStyle w:val="Hipervnculo"/>
                <w:rFonts w:ascii="Arial Narrow" w:hAnsi="Arial Narrow"/>
                <w:b/>
                <w:noProof/>
              </w:rPr>
              <w:t xml:space="preserve">Análisis del </w:t>
            </w:r>
            <w:r w:rsidR="009D7771" w:rsidRPr="005A242A">
              <w:rPr>
                <w:rStyle w:val="Hipervnculo"/>
                <w:rFonts w:ascii="Arial Narrow" w:hAnsi="Arial Narrow"/>
                <w:b/>
                <w:noProof/>
              </w:rPr>
              <w:t>Artículo</w:t>
            </w:r>
            <w:r w:rsidR="00552574" w:rsidRPr="005A242A">
              <w:rPr>
                <w:rStyle w:val="Hipervnculo"/>
                <w:rFonts w:ascii="Arial Narrow" w:hAnsi="Arial Narrow"/>
                <w:b/>
                <w:noProof/>
              </w:rPr>
              <w:t xml:space="preserve"> 146</w:t>
            </w:r>
            <w:r w:rsidR="00552574" w:rsidRPr="005A242A">
              <w:rPr>
                <w:rFonts w:ascii="Arial Narrow" w:hAnsi="Arial Narrow"/>
                <w:noProof/>
                <w:webHidden/>
              </w:rPr>
              <w:tab/>
            </w:r>
            <w:r w:rsidR="00552574" w:rsidRPr="005A242A">
              <w:rPr>
                <w:rFonts w:ascii="Arial Narrow" w:hAnsi="Arial Narrow"/>
                <w:noProof/>
                <w:webHidden/>
              </w:rPr>
              <w:fldChar w:fldCharType="begin"/>
            </w:r>
            <w:r w:rsidR="00552574" w:rsidRPr="005A242A">
              <w:rPr>
                <w:rFonts w:ascii="Arial Narrow" w:hAnsi="Arial Narrow"/>
                <w:noProof/>
                <w:webHidden/>
              </w:rPr>
              <w:instrText xml:space="preserve"> PAGEREF _Toc14293736 \h </w:instrText>
            </w:r>
            <w:r w:rsidR="00552574" w:rsidRPr="005A242A">
              <w:rPr>
                <w:rFonts w:ascii="Arial Narrow" w:hAnsi="Arial Narrow"/>
                <w:noProof/>
                <w:webHidden/>
              </w:rPr>
            </w:r>
            <w:r w:rsidR="00552574" w:rsidRPr="005A242A">
              <w:rPr>
                <w:rFonts w:ascii="Arial Narrow" w:hAnsi="Arial Narrow"/>
                <w:noProof/>
                <w:webHidden/>
              </w:rPr>
              <w:fldChar w:fldCharType="separate"/>
            </w:r>
            <w:r w:rsidR="00CE28A8">
              <w:rPr>
                <w:rFonts w:ascii="Arial Narrow" w:hAnsi="Arial Narrow"/>
                <w:noProof/>
                <w:webHidden/>
              </w:rPr>
              <w:t>55</w:t>
            </w:r>
            <w:r w:rsidR="00552574" w:rsidRPr="005A242A">
              <w:rPr>
                <w:rFonts w:ascii="Arial Narrow" w:hAnsi="Arial Narrow"/>
                <w:noProof/>
                <w:webHidden/>
              </w:rPr>
              <w:fldChar w:fldCharType="end"/>
            </w:r>
          </w:hyperlink>
        </w:p>
        <w:p w:rsidR="00552574" w:rsidRPr="005A242A" w:rsidRDefault="007C0694">
          <w:pPr>
            <w:pStyle w:val="TDC3"/>
            <w:tabs>
              <w:tab w:val="left" w:pos="1320"/>
              <w:tab w:val="right" w:leader="dot" w:pos="8828"/>
            </w:tabs>
            <w:rPr>
              <w:rFonts w:ascii="Arial Narrow" w:hAnsi="Arial Narrow" w:cstheme="minorBidi"/>
              <w:noProof/>
            </w:rPr>
          </w:pPr>
          <w:hyperlink w:anchor="_Toc14293737" w:history="1">
            <w:r w:rsidR="00552574" w:rsidRPr="005A242A">
              <w:rPr>
                <w:rStyle w:val="Hipervnculo"/>
                <w:rFonts w:ascii="Arial Narrow" w:hAnsi="Arial Narrow"/>
                <w:b/>
                <w:noProof/>
              </w:rPr>
              <w:t>1.3.8.</w:t>
            </w:r>
            <w:r w:rsidR="00552574" w:rsidRPr="005A242A">
              <w:rPr>
                <w:rFonts w:ascii="Arial Narrow" w:hAnsi="Arial Narrow" w:cstheme="minorBidi"/>
                <w:noProof/>
              </w:rPr>
              <w:tab/>
            </w:r>
            <w:r w:rsidR="00552574" w:rsidRPr="005A242A">
              <w:rPr>
                <w:rStyle w:val="Hipervnculo"/>
                <w:rFonts w:ascii="Arial Narrow" w:hAnsi="Arial Narrow"/>
                <w:b/>
                <w:noProof/>
              </w:rPr>
              <w:t xml:space="preserve">Análisis del </w:t>
            </w:r>
            <w:r w:rsidR="009D7771" w:rsidRPr="005A242A">
              <w:rPr>
                <w:rStyle w:val="Hipervnculo"/>
                <w:rFonts w:ascii="Arial Narrow" w:hAnsi="Arial Narrow"/>
                <w:b/>
                <w:noProof/>
              </w:rPr>
              <w:t>Artículo</w:t>
            </w:r>
            <w:r w:rsidR="00552574" w:rsidRPr="005A242A">
              <w:rPr>
                <w:rStyle w:val="Hipervnculo"/>
                <w:rFonts w:ascii="Arial Narrow" w:hAnsi="Arial Narrow"/>
                <w:b/>
                <w:noProof/>
              </w:rPr>
              <w:t xml:space="preserve"> 147</w:t>
            </w:r>
            <w:r w:rsidR="00552574" w:rsidRPr="005A242A">
              <w:rPr>
                <w:rFonts w:ascii="Arial Narrow" w:hAnsi="Arial Narrow"/>
                <w:noProof/>
                <w:webHidden/>
              </w:rPr>
              <w:tab/>
            </w:r>
            <w:r w:rsidR="00552574" w:rsidRPr="005A242A">
              <w:rPr>
                <w:rFonts w:ascii="Arial Narrow" w:hAnsi="Arial Narrow"/>
                <w:noProof/>
                <w:webHidden/>
              </w:rPr>
              <w:fldChar w:fldCharType="begin"/>
            </w:r>
            <w:r w:rsidR="00552574" w:rsidRPr="005A242A">
              <w:rPr>
                <w:rFonts w:ascii="Arial Narrow" w:hAnsi="Arial Narrow"/>
                <w:noProof/>
                <w:webHidden/>
              </w:rPr>
              <w:instrText xml:space="preserve"> PAGEREF _Toc14293737 \h </w:instrText>
            </w:r>
            <w:r w:rsidR="00552574" w:rsidRPr="005A242A">
              <w:rPr>
                <w:rFonts w:ascii="Arial Narrow" w:hAnsi="Arial Narrow"/>
                <w:noProof/>
                <w:webHidden/>
              </w:rPr>
            </w:r>
            <w:r w:rsidR="00552574" w:rsidRPr="005A242A">
              <w:rPr>
                <w:rFonts w:ascii="Arial Narrow" w:hAnsi="Arial Narrow"/>
                <w:noProof/>
                <w:webHidden/>
              </w:rPr>
              <w:fldChar w:fldCharType="separate"/>
            </w:r>
            <w:r w:rsidR="00CE28A8">
              <w:rPr>
                <w:rFonts w:ascii="Arial Narrow" w:hAnsi="Arial Narrow"/>
                <w:noProof/>
                <w:webHidden/>
              </w:rPr>
              <w:t>56</w:t>
            </w:r>
            <w:r w:rsidR="00552574" w:rsidRPr="005A242A">
              <w:rPr>
                <w:rFonts w:ascii="Arial Narrow" w:hAnsi="Arial Narrow"/>
                <w:noProof/>
                <w:webHidden/>
              </w:rPr>
              <w:fldChar w:fldCharType="end"/>
            </w:r>
          </w:hyperlink>
        </w:p>
        <w:p w:rsidR="00552574" w:rsidRPr="005A242A" w:rsidRDefault="007C0694">
          <w:pPr>
            <w:pStyle w:val="TDC2"/>
            <w:tabs>
              <w:tab w:val="left" w:pos="880"/>
              <w:tab w:val="right" w:leader="dot" w:pos="8828"/>
            </w:tabs>
            <w:rPr>
              <w:rFonts w:ascii="Arial Narrow" w:hAnsi="Arial Narrow" w:cstheme="minorBidi"/>
              <w:noProof/>
            </w:rPr>
          </w:pPr>
          <w:hyperlink w:anchor="_Toc14293738" w:history="1">
            <w:r w:rsidR="00552574" w:rsidRPr="005A242A">
              <w:rPr>
                <w:rStyle w:val="Hipervnculo"/>
                <w:rFonts w:ascii="Arial Narrow" w:hAnsi="Arial Narrow"/>
                <w:b/>
                <w:noProof/>
              </w:rPr>
              <w:t>1.4</w:t>
            </w:r>
            <w:r w:rsidR="00552574" w:rsidRPr="005A242A">
              <w:rPr>
                <w:rFonts w:ascii="Arial Narrow" w:hAnsi="Arial Narrow" w:cstheme="minorBidi"/>
                <w:noProof/>
              </w:rPr>
              <w:tab/>
            </w:r>
            <w:r w:rsidR="00552574" w:rsidRPr="005A242A">
              <w:rPr>
                <w:rStyle w:val="Hipervnculo"/>
                <w:rFonts w:ascii="Arial Narrow" w:hAnsi="Arial Narrow"/>
                <w:b/>
                <w:noProof/>
              </w:rPr>
              <w:t>DEMARCACIONES POLÍTICAS DE LA CIUDAD DE MÉXICO</w:t>
            </w:r>
            <w:r w:rsidR="00552574" w:rsidRPr="005A242A">
              <w:rPr>
                <w:rFonts w:ascii="Arial Narrow" w:hAnsi="Arial Narrow"/>
                <w:noProof/>
                <w:webHidden/>
              </w:rPr>
              <w:tab/>
            </w:r>
            <w:r w:rsidR="00552574" w:rsidRPr="005A242A">
              <w:rPr>
                <w:rFonts w:ascii="Arial Narrow" w:hAnsi="Arial Narrow"/>
                <w:noProof/>
                <w:webHidden/>
              </w:rPr>
              <w:fldChar w:fldCharType="begin"/>
            </w:r>
            <w:r w:rsidR="00552574" w:rsidRPr="005A242A">
              <w:rPr>
                <w:rFonts w:ascii="Arial Narrow" w:hAnsi="Arial Narrow"/>
                <w:noProof/>
                <w:webHidden/>
              </w:rPr>
              <w:instrText xml:space="preserve"> PAGEREF _Toc14293738 \h </w:instrText>
            </w:r>
            <w:r w:rsidR="00552574" w:rsidRPr="005A242A">
              <w:rPr>
                <w:rFonts w:ascii="Arial Narrow" w:hAnsi="Arial Narrow"/>
                <w:noProof/>
                <w:webHidden/>
              </w:rPr>
            </w:r>
            <w:r w:rsidR="00552574" w:rsidRPr="005A242A">
              <w:rPr>
                <w:rFonts w:ascii="Arial Narrow" w:hAnsi="Arial Narrow"/>
                <w:noProof/>
                <w:webHidden/>
              </w:rPr>
              <w:fldChar w:fldCharType="separate"/>
            </w:r>
            <w:r w:rsidR="00CE28A8">
              <w:rPr>
                <w:rFonts w:ascii="Arial Narrow" w:hAnsi="Arial Narrow"/>
                <w:noProof/>
                <w:webHidden/>
              </w:rPr>
              <w:t>58</w:t>
            </w:r>
            <w:r w:rsidR="00552574" w:rsidRPr="005A242A">
              <w:rPr>
                <w:rFonts w:ascii="Arial Narrow" w:hAnsi="Arial Narrow"/>
                <w:noProof/>
                <w:webHidden/>
              </w:rPr>
              <w:fldChar w:fldCharType="end"/>
            </w:r>
          </w:hyperlink>
        </w:p>
        <w:p w:rsidR="00552574" w:rsidRPr="005A242A" w:rsidRDefault="007C0694">
          <w:pPr>
            <w:pStyle w:val="TDC3"/>
            <w:tabs>
              <w:tab w:val="left" w:pos="1100"/>
              <w:tab w:val="right" w:leader="dot" w:pos="8828"/>
            </w:tabs>
            <w:rPr>
              <w:rFonts w:ascii="Arial Narrow" w:hAnsi="Arial Narrow" w:cstheme="minorBidi"/>
              <w:noProof/>
            </w:rPr>
          </w:pPr>
          <w:hyperlink w:anchor="_Toc14293739" w:history="1">
            <w:r w:rsidR="00552574" w:rsidRPr="005A242A">
              <w:rPr>
                <w:rStyle w:val="Hipervnculo"/>
                <w:rFonts w:ascii="Arial Narrow" w:hAnsi="Arial Narrow"/>
                <w:b/>
                <w:noProof/>
              </w:rPr>
              <w:t>1.4.1</w:t>
            </w:r>
            <w:r w:rsidR="00552574" w:rsidRPr="005A242A">
              <w:rPr>
                <w:rFonts w:ascii="Arial Narrow" w:hAnsi="Arial Narrow" w:cstheme="minorBidi"/>
                <w:noProof/>
              </w:rPr>
              <w:tab/>
            </w:r>
            <w:r w:rsidR="00552574" w:rsidRPr="005A242A">
              <w:rPr>
                <w:rStyle w:val="Hipervnculo"/>
                <w:rFonts w:ascii="Arial Narrow" w:hAnsi="Arial Narrow"/>
                <w:b/>
                <w:noProof/>
              </w:rPr>
              <w:t>Análisis global de cumplimiento de las Demarcaciones Políticas</w:t>
            </w:r>
            <w:r w:rsidR="00552574" w:rsidRPr="005A242A">
              <w:rPr>
                <w:rFonts w:ascii="Arial Narrow" w:hAnsi="Arial Narrow"/>
                <w:noProof/>
                <w:webHidden/>
              </w:rPr>
              <w:tab/>
            </w:r>
            <w:r w:rsidR="00552574" w:rsidRPr="005A242A">
              <w:rPr>
                <w:rFonts w:ascii="Arial Narrow" w:hAnsi="Arial Narrow"/>
                <w:noProof/>
                <w:webHidden/>
              </w:rPr>
              <w:fldChar w:fldCharType="begin"/>
            </w:r>
            <w:r w:rsidR="00552574" w:rsidRPr="005A242A">
              <w:rPr>
                <w:rFonts w:ascii="Arial Narrow" w:hAnsi="Arial Narrow"/>
                <w:noProof/>
                <w:webHidden/>
              </w:rPr>
              <w:instrText xml:space="preserve"> PAGEREF _Toc14293739 \h </w:instrText>
            </w:r>
            <w:r w:rsidR="00552574" w:rsidRPr="005A242A">
              <w:rPr>
                <w:rFonts w:ascii="Arial Narrow" w:hAnsi="Arial Narrow"/>
                <w:noProof/>
                <w:webHidden/>
              </w:rPr>
            </w:r>
            <w:r w:rsidR="00552574" w:rsidRPr="005A242A">
              <w:rPr>
                <w:rFonts w:ascii="Arial Narrow" w:hAnsi="Arial Narrow"/>
                <w:noProof/>
                <w:webHidden/>
              </w:rPr>
              <w:fldChar w:fldCharType="separate"/>
            </w:r>
            <w:r w:rsidR="00CE28A8">
              <w:rPr>
                <w:rFonts w:ascii="Arial Narrow" w:hAnsi="Arial Narrow"/>
                <w:noProof/>
                <w:webHidden/>
              </w:rPr>
              <w:t>60</w:t>
            </w:r>
            <w:r w:rsidR="00552574" w:rsidRPr="005A242A">
              <w:rPr>
                <w:rFonts w:ascii="Arial Narrow" w:hAnsi="Arial Narrow"/>
                <w:noProof/>
                <w:webHidden/>
              </w:rPr>
              <w:fldChar w:fldCharType="end"/>
            </w:r>
          </w:hyperlink>
        </w:p>
        <w:p w:rsidR="00552574" w:rsidRPr="005A242A" w:rsidRDefault="007C0694">
          <w:pPr>
            <w:pStyle w:val="TDC3"/>
            <w:tabs>
              <w:tab w:val="left" w:pos="1100"/>
              <w:tab w:val="right" w:leader="dot" w:pos="8828"/>
            </w:tabs>
            <w:rPr>
              <w:rFonts w:ascii="Arial Narrow" w:hAnsi="Arial Narrow" w:cstheme="minorBidi"/>
              <w:noProof/>
            </w:rPr>
          </w:pPr>
          <w:hyperlink w:anchor="_Toc14293740" w:history="1">
            <w:r w:rsidR="00552574" w:rsidRPr="005A242A">
              <w:rPr>
                <w:rStyle w:val="Hipervnculo"/>
                <w:rFonts w:ascii="Arial Narrow" w:hAnsi="Arial Narrow"/>
                <w:b/>
                <w:noProof/>
              </w:rPr>
              <w:t>1.4.2</w:t>
            </w:r>
            <w:r w:rsidR="00552574" w:rsidRPr="005A242A">
              <w:rPr>
                <w:rFonts w:ascii="Arial Narrow" w:hAnsi="Arial Narrow" w:cstheme="minorBidi"/>
                <w:noProof/>
              </w:rPr>
              <w:tab/>
            </w:r>
            <w:r w:rsidR="00552574" w:rsidRPr="005A242A">
              <w:rPr>
                <w:rStyle w:val="Hipervnculo"/>
                <w:rFonts w:ascii="Arial Narrow" w:hAnsi="Arial Narrow"/>
                <w:b/>
                <w:noProof/>
              </w:rPr>
              <w:t xml:space="preserve">Análisis del </w:t>
            </w:r>
            <w:r w:rsidR="009D7771" w:rsidRPr="005A242A">
              <w:rPr>
                <w:rStyle w:val="Hipervnculo"/>
                <w:rFonts w:ascii="Arial Narrow" w:hAnsi="Arial Narrow"/>
                <w:b/>
                <w:noProof/>
              </w:rPr>
              <w:t>Artículo</w:t>
            </w:r>
            <w:r w:rsidR="00552574" w:rsidRPr="005A242A">
              <w:rPr>
                <w:rStyle w:val="Hipervnculo"/>
                <w:rFonts w:ascii="Arial Narrow" w:hAnsi="Arial Narrow"/>
                <w:b/>
                <w:noProof/>
              </w:rPr>
              <w:t xml:space="preserve"> 121 y sus respectivas fracciones</w:t>
            </w:r>
            <w:r w:rsidR="00552574" w:rsidRPr="005A242A">
              <w:rPr>
                <w:rFonts w:ascii="Arial Narrow" w:hAnsi="Arial Narrow"/>
                <w:noProof/>
                <w:webHidden/>
              </w:rPr>
              <w:tab/>
            </w:r>
            <w:r w:rsidR="00552574" w:rsidRPr="005A242A">
              <w:rPr>
                <w:rFonts w:ascii="Arial Narrow" w:hAnsi="Arial Narrow"/>
                <w:noProof/>
                <w:webHidden/>
              </w:rPr>
              <w:fldChar w:fldCharType="begin"/>
            </w:r>
            <w:r w:rsidR="00552574" w:rsidRPr="005A242A">
              <w:rPr>
                <w:rFonts w:ascii="Arial Narrow" w:hAnsi="Arial Narrow"/>
                <w:noProof/>
                <w:webHidden/>
              </w:rPr>
              <w:instrText xml:space="preserve"> PAGEREF _Toc14293740 \h </w:instrText>
            </w:r>
            <w:r w:rsidR="00552574" w:rsidRPr="005A242A">
              <w:rPr>
                <w:rFonts w:ascii="Arial Narrow" w:hAnsi="Arial Narrow"/>
                <w:noProof/>
                <w:webHidden/>
              </w:rPr>
            </w:r>
            <w:r w:rsidR="00552574" w:rsidRPr="005A242A">
              <w:rPr>
                <w:rFonts w:ascii="Arial Narrow" w:hAnsi="Arial Narrow"/>
                <w:noProof/>
                <w:webHidden/>
              </w:rPr>
              <w:fldChar w:fldCharType="separate"/>
            </w:r>
            <w:r w:rsidR="00CE28A8">
              <w:rPr>
                <w:rFonts w:ascii="Arial Narrow" w:hAnsi="Arial Narrow"/>
                <w:noProof/>
                <w:webHidden/>
              </w:rPr>
              <w:t>61</w:t>
            </w:r>
            <w:r w:rsidR="00552574" w:rsidRPr="005A242A">
              <w:rPr>
                <w:rFonts w:ascii="Arial Narrow" w:hAnsi="Arial Narrow"/>
                <w:noProof/>
                <w:webHidden/>
              </w:rPr>
              <w:fldChar w:fldCharType="end"/>
            </w:r>
          </w:hyperlink>
        </w:p>
        <w:p w:rsidR="00552574" w:rsidRPr="005A242A" w:rsidRDefault="007C0694">
          <w:pPr>
            <w:pStyle w:val="TDC3"/>
            <w:tabs>
              <w:tab w:val="left" w:pos="1100"/>
              <w:tab w:val="right" w:leader="dot" w:pos="8828"/>
            </w:tabs>
            <w:rPr>
              <w:rFonts w:ascii="Arial Narrow" w:hAnsi="Arial Narrow" w:cstheme="minorBidi"/>
              <w:noProof/>
            </w:rPr>
          </w:pPr>
          <w:hyperlink w:anchor="_Toc14293741" w:history="1">
            <w:r w:rsidR="00552574" w:rsidRPr="005A242A">
              <w:rPr>
                <w:rStyle w:val="Hipervnculo"/>
                <w:rFonts w:ascii="Arial Narrow" w:hAnsi="Arial Narrow"/>
                <w:b/>
                <w:noProof/>
              </w:rPr>
              <w:t>1.4.3</w:t>
            </w:r>
            <w:r w:rsidR="00552574" w:rsidRPr="005A242A">
              <w:rPr>
                <w:rFonts w:ascii="Arial Narrow" w:hAnsi="Arial Narrow" w:cstheme="minorBidi"/>
                <w:noProof/>
              </w:rPr>
              <w:tab/>
            </w:r>
            <w:r w:rsidR="00552574" w:rsidRPr="005A242A">
              <w:rPr>
                <w:rStyle w:val="Hipervnculo"/>
                <w:rFonts w:ascii="Arial Narrow" w:hAnsi="Arial Narrow"/>
                <w:b/>
                <w:noProof/>
              </w:rPr>
              <w:t xml:space="preserve">Análisis del </w:t>
            </w:r>
            <w:r w:rsidR="009D7771" w:rsidRPr="005A242A">
              <w:rPr>
                <w:rStyle w:val="Hipervnculo"/>
                <w:rFonts w:ascii="Arial Narrow" w:hAnsi="Arial Narrow"/>
                <w:b/>
                <w:noProof/>
              </w:rPr>
              <w:t>Artículo</w:t>
            </w:r>
            <w:r w:rsidR="00552574" w:rsidRPr="005A242A">
              <w:rPr>
                <w:rStyle w:val="Hipervnculo"/>
                <w:rFonts w:ascii="Arial Narrow" w:hAnsi="Arial Narrow"/>
                <w:b/>
                <w:noProof/>
              </w:rPr>
              <w:t xml:space="preserve"> 122 y sus respectivas fracciones</w:t>
            </w:r>
            <w:r w:rsidR="00552574" w:rsidRPr="005A242A">
              <w:rPr>
                <w:rFonts w:ascii="Arial Narrow" w:hAnsi="Arial Narrow"/>
                <w:noProof/>
                <w:webHidden/>
              </w:rPr>
              <w:tab/>
            </w:r>
            <w:r w:rsidR="00552574" w:rsidRPr="005A242A">
              <w:rPr>
                <w:rFonts w:ascii="Arial Narrow" w:hAnsi="Arial Narrow"/>
                <w:noProof/>
                <w:webHidden/>
              </w:rPr>
              <w:fldChar w:fldCharType="begin"/>
            </w:r>
            <w:r w:rsidR="00552574" w:rsidRPr="005A242A">
              <w:rPr>
                <w:rFonts w:ascii="Arial Narrow" w:hAnsi="Arial Narrow"/>
                <w:noProof/>
                <w:webHidden/>
              </w:rPr>
              <w:instrText xml:space="preserve"> PAGEREF _Toc14293741 \h </w:instrText>
            </w:r>
            <w:r w:rsidR="00552574" w:rsidRPr="005A242A">
              <w:rPr>
                <w:rFonts w:ascii="Arial Narrow" w:hAnsi="Arial Narrow"/>
                <w:noProof/>
                <w:webHidden/>
              </w:rPr>
            </w:r>
            <w:r w:rsidR="00552574" w:rsidRPr="005A242A">
              <w:rPr>
                <w:rFonts w:ascii="Arial Narrow" w:hAnsi="Arial Narrow"/>
                <w:noProof/>
                <w:webHidden/>
              </w:rPr>
              <w:fldChar w:fldCharType="separate"/>
            </w:r>
            <w:r w:rsidR="00CE28A8">
              <w:rPr>
                <w:rFonts w:ascii="Arial Narrow" w:hAnsi="Arial Narrow"/>
                <w:noProof/>
                <w:webHidden/>
              </w:rPr>
              <w:t>63</w:t>
            </w:r>
            <w:r w:rsidR="00552574" w:rsidRPr="005A242A">
              <w:rPr>
                <w:rFonts w:ascii="Arial Narrow" w:hAnsi="Arial Narrow"/>
                <w:noProof/>
                <w:webHidden/>
              </w:rPr>
              <w:fldChar w:fldCharType="end"/>
            </w:r>
          </w:hyperlink>
        </w:p>
        <w:p w:rsidR="00552574" w:rsidRPr="005A242A" w:rsidRDefault="007C0694">
          <w:pPr>
            <w:pStyle w:val="TDC3"/>
            <w:tabs>
              <w:tab w:val="left" w:pos="1100"/>
              <w:tab w:val="right" w:leader="dot" w:pos="8828"/>
            </w:tabs>
            <w:rPr>
              <w:rFonts w:ascii="Arial Narrow" w:hAnsi="Arial Narrow" w:cstheme="minorBidi"/>
              <w:noProof/>
            </w:rPr>
          </w:pPr>
          <w:hyperlink w:anchor="_Toc14293742" w:history="1">
            <w:r w:rsidR="00552574" w:rsidRPr="005A242A">
              <w:rPr>
                <w:rStyle w:val="Hipervnculo"/>
                <w:rFonts w:ascii="Arial Narrow" w:hAnsi="Arial Narrow"/>
                <w:b/>
                <w:noProof/>
              </w:rPr>
              <w:t>1.4.4</w:t>
            </w:r>
            <w:r w:rsidR="00552574" w:rsidRPr="005A242A">
              <w:rPr>
                <w:rFonts w:ascii="Arial Narrow" w:hAnsi="Arial Narrow" w:cstheme="minorBidi"/>
                <w:noProof/>
              </w:rPr>
              <w:tab/>
            </w:r>
            <w:r w:rsidR="00552574" w:rsidRPr="005A242A">
              <w:rPr>
                <w:rStyle w:val="Hipervnculo"/>
                <w:rFonts w:ascii="Arial Narrow" w:hAnsi="Arial Narrow"/>
                <w:b/>
                <w:noProof/>
              </w:rPr>
              <w:t xml:space="preserve">Análisis del </w:t>
            </w:r>
            <w:r w:rsidR="009D7771" w:rsidRPr="005A242A">
              <w:rPr>
                <w:rStyle w:val="Hipervnculo"/>
                <w:rFonts w:ascii="Arial Narrow" w:hAnsi="Arial Narrow"/>
                <w:b/>
                <w:noProof/>
              </w:rPr>
              <w:t>Artículo</w:t>
            </w:r>
            <w:r w:rsidR="00552574" w:rsidRPr="005A242A">
              <w:rPr>
                <w:rStyle w:val="Hipervnculo"/>
                <w:rFonts w:ascii="Arial Narrow" w:hAnsi="Arial Narrow"/>
                <w:b/>
                <w:noProof/>
              </w:rPr>
              <w:t xml:space="preserve"> 124 y sus respectivas fracciones</w:t>
            </w:r>
            <w:r w:rsidR="00552574" w:rsidRPr="005A242A">
              <w:rPr>
                <w:rFonts w:ascii="Arial Narrow" w:hAnsi="Arial Narrow"/>
                <w:noProof/>
                <w:webHidden/>
              </w:rPr>
              <w:tab/>
            </w:r>
            <w:r w:rsidR="00552574" w:rsidRPr="005A242A">
              <w:rPr>
                <w:rFonts w:ascii="Arial Narrow" w:hAnsi="Arial Narrow"/>
                <w:noProof/>
                <w:webHidden/>
              </w:rPr>
              <w:fldChar w:fldCharType="begin"/>
            </w:r>
            <w:r w:rsidR="00552574" w:rsidRPr="005A242A">
              <w:rPr>
                <w:rFonts w:ascii="Arial Narrow" w:hAnsi="Arial Narrow"/>
                <w:noProof/>
                <w:webHidden/>
              </w:rPr>
              <w:instrText xml:space="preserve"> PAGEREF _Toc14293742 \h </w:instrText>
            </w:r>
            <w:r w:rsidR="00552574" w:rsidRPr="005A242A">
              <w:rPr>
                <w:rFonts w:ascii="Arial Narrow" w:hAnsi="Arial Narrow"/>
                <w:noProof/>
                <w:webHidden/>
              </w:rPr>
            </w:r>
            <w:r w:rsidR="00552574" w:rsidRPr="005A242A">
              <w:rPr>
                <w:rFonts w:ascii="Arial Narrow" w:hAnsi="Arial Narrow"/>
                <w:noProof/>
                <w:webHidden/>
              </w:rPr>
              <w:fldChar w:fldCharType="separate"/>
            </w:r>
            <w:r w:rsidR="00CE28A8">
              <w:rPr>
                <w:rFonts w:ascii="Arial Narrow" w:hAnsi="Arial Narrow"/>
                <w:noProof/>
                <w:webHidden/>
              </w:rPr>
              <w:t>65</w:t>
            </w:r>
            <w:r w:rsidR="00552574" w:rsidRPr="005A242A">
              <w:rPr>
                <w:rFonts w:ascii="Arial Narrow" w:hAnsi="Arial Narrow"/>
                <w:noProof/>
                <w:webHidden/>
              </w:rPr>
              <w:fldChar w:fldCharType="end"/>
            </w:r>
          </w:hyperlink>
        </w:p>
        <w:p w:rsidR="00552574" w:rsidRPr="005A242A" w:rsidRDefault="007C0694">
          <w:pPr>
            <w:pStyle w:val="TDC3"/>
            <w:tabs>
              <w:tab w:val="left" w:pos="1100"/>
              <w:tab w:val="right" w:leader="dot" w:pos="8828"/>
            </w:tabs>
            <w:rPr>
              <w:rFonts w:ascii="Arial Narrow" w:hAnsi="Arial Narrow" w:cstheme="minorBidi"/>
              <w:noProof/>
            </w:rPr>
          </w:pPr>
          <w:hyperlink w:anchor="_Toc14293743" w:history="1">
            <w:r w:rsidR="00552574" w:rsidRPr="005A242A">
              <w:rPr>
                <w:rStyle w:val="Hipervnculo"/>
                <w:rFonts w:ascii="Arial Narrow" w:hAnsi="Arial Narrow"/>
                <w:b/>
                <w:noProof/>
              </w:rPr>
              <w:t>1.4.5</w:t>
            </w:r>
            <w:r w:rsidR="00552574" w:rsidRPr="005A242A">
              <w:rPr>
                <w:rFonts w:ascii="Arial Narrow" w:hAnsi="Arial Narrow" w:cstheme="minorBidi"/>
                <w:noProof/>
              </w:rPr>
              <w:tab/>
            </w:r>
            <w:r w:rsidR="00552574" w:rsidRPr="005A242A">
              <w:rPr>
                <w:rStyle w:val="Hipervnculo"/>
                <w:rFonts w:ascii="Arial Narrow" w:hAnsi="Arial Narrow"/>
                <w:b/>
                <w:noProof/>
              </w:rPr>
              <w:t xml:space="preserve">Análisis del </w:t>
            </w:r>
            <w:r w:rsidR="009D7771" w:rsidRPr="005A242A">
              <w:rPr>
                <w:rStyle w:val="Hipervnculo"/>
                <w:rFonts w:ascii="Arial Narrow" w:hAnsi="Arial Narrow"/>
                <w:b/>
                <w:noProof/>
              </w:rPr>
              <w:t>Artículo</w:t>
            </w:r>
            <w:r w:rsidR="00552574" w:rsidRPr="005A242A">
              <w:rPr>
                <w:rStyle w:val="Hipervnculo"/>
                <w:rFonts w:ascii="Arial Narrow" w:hAnsi="Arial Narrow"/>
                <w:b/>
                <w:noProof/>
              </w:rPr>
              <w:t xml:space="preserve"> 143</w:t>
            </w:r>
            <w:r w:rsidR="00552574" w:rsidRPr="005A242A">
              <w:rPr>
                <w:rFonts w:ascii="Arial Narrow" w:hAnsi="Arial Narrow"/>
                <w:noProof/>
                <w:webHidden/>
              </w:rPr>
              <w:tab/>
            </w:r>
            <w:r w:rsidR="00552574" w:rsidRPr="005A242A">
              <w:rPr>
                <w:rFonts w:ascii="Arial Narrow" w:hAnsi="Arial Narrow"/>
                <w:noProof/>
                <w:webHidden/>
              </w:rPr>
              <w:fldChar w:fldCharType="begin"/>
            </w:r>
            <w:r w:rsidR="00552574" w:rsidRPr="005A242A">
              <w:rPr>
                <w:rFonts w:ascii="Arial Narrow" w:hAnsi="Arial Narrow"/>
                <w:noProof/>
                <w:webHidden/>
              </w:rPr>
              <w:instrText xml:space="preserve"> PAGEREF _Toc14293743 \h </w:instrText>
            </w:r>
            <w:r w:rsidR="00552574" w:rsidRPr="005A242A">
              <w:rPr>
                <w:rFonts w:ascii="Arial Narrow" w:hAnsi="Arial Narrow"/>
                <w:noProof/>
                <w:webHidden/>
              </w:rPr>
            </w:r>
            <w:r w:rsidR="00552574" w:rsidRPr="005A242A">
              <w:rPr>
                <w:rFonts w:ascii="Arial Narrow" w:hAnsi="Arial Narrow"/>
                <w:noProof/>
                <w:webHidden/>
              </w:rPr>
              <w:fldChar w:fldCharType="separate"/>
            </w:r>
            <w:r w:rsidR="00CE28A8">
              <w:rPr>
                <w:rFonts w:ascii="Arial Narrow" w:hAnsi="Arial Narrow"/>
                <w:noProof/>
                <w:webHidden/>
              </w:rPr>
              <w:t>67</w:t>
            </w:r>
            <w:r w:rsidR="00552574" w:rsidRPr="005A242A">
              <w:rPr>
                <w:rFonts w:ascii="Arial Narrow" w:hAnsi="Arial Narrow"/>
                <w:noProof/>
                <w:webHidden/>
              </w:rPr>
              <w:fldChar w:fldCharType="end"/>
            </w:r>
          </w:hyperlink>
        </w:p>
        <w:p w:rsidR="00552574" w:rsidRPr="005A242A" w:rsidRDefault="007C0694">
          <w:pPr>
            <w:pStyle w:val="TDC3"/>
            <w:tabs>
              <w:tab w:val="left" w:pos="1100"/>
              <w:tab w:val="right" w:leader="dot" w:pos="8828"/>
            </w:tabs>
            <w:rPr>
              <w:rFonts w:ascii="Arial Narrow" w:hAnsi="Arial Narrow" w:cstheme="minorBidi"/>
              <w:noProof/>
            </w:rPr>
          </w:pPr>
          <w:hyperlink w:anchor="_Toc14293744" w:history="1">
            <w:r w:rsidR="00552574" w:rsidRPr="005A242A">
              <w:rPr>
                <w:rStyle w:val="Hipervnculo"/>
                <w:rFonts w:ascii="Arial Narrow" w:hAnsi="Arial Narrow"/>
                <w:b/>
                <w:noProof/>
              </w:rPr>
              <w:t>1.4.6</w:t>
            </w:r>
            <w:r w:rsidR="00552574" w:rsidRPr="005A242A">
              <w:rPr>
                <w:rFonts w:ascii="Arial Narrow" w:hAnsi="Arial Narrow" w:cstheme="minorBidi"/>
                <w:noProof/>
              </w:rPr>
              <w:tab/>
            </w:r>
            <w:r w:rsidR="00552574" w:rsidRPr="005A242A">
              <w:rPr>
                <w:rStyle w:val="Hipervnculo"/>
                <w:rFonts w:ascii="Arial Narrow" w:hAnsi="Arial Narrow"/>
                <w:b/>
                <w:noProof/>
              </w:rPr>
              <w:t xml:space="preserve">Análisis del </w:t>
            </w:r>
            <w:r w:rsidR="009D7771" w:rsidRPr="005A242A">
              <w:rPr>
                <w:rStyle w:val="Hipervnculo"/>
                <w:rFonts w:ascii="Arial Narrow" w:hAnsi="Arial Narrow"/>
                <w:b/>
                <w:noProof/>
              </w:rPr>
              <w:t>Artículo</w:t>
            </w:r>
            <w:r w:rsidR="00552574" w:rsidRPr="005A242A">
              <w:rPr>
                <w:rStyle w:val="Hipervnculo"/>
                <w:rFonts w:ascii="Arial Narrow" w:hAnsi="Arial Narrow"/>
                <w:b/>
                <w:noProof/>
              </w:rPr>
              <w:t xml:space="preserve"> 145</w:t>
            </w:r>
            <w:r w:rsidR="00552574" w:rsidRPr="005A242A">
              <w:rPr>
                <w:rFonts w:ascii="Arial Narrow" w:hAnsi="Arial Narrow"/>
                <w:noProof/>
                <w:webHidden/>
              </w:rPr>
              <w:tab/>
            </w:r>
            <w:r w:rsidR="00552574" w:rsidRPr="005A242A">
              <w:rPr>
                <w:rFonts w:ascii="Arial Narrow" w:hAnsi="Arial Narrow"/>
                <w:noProof/>
                <w:webHidden/>
              </w:rPr>
              <w:fldChar w:fldCharType="begin"/>
            </w:r>
            <w:r w:rsidR="00552574" w:rsidRPr="005A242A">
              <w:rPr>
                <w:rFonts w:ascii="Arial Narrow" w:hAnsi="Arial Narrow"/>
                <w:noProof/>
                <w:webHidden/>
              </w:rPr>
              <w:instrText xml:space="preserve"> PAGEREF _Toc14293744 \h </w:instrText>
            </w:r>
            <w:r w:rsidR="00552574" w:rsidRPr="005A242A">
              <w:rPr>
                <w:rFonts w:ascii="Arial Narrow" w:hAnsi="Arial Narrow"/>
                <w:noProof/>
                <w:webHidden/>
              </w:rPr>
            </w:r>
            <w:r w:rsidR="00552574" w:rsidRPr="005A242A">
              <w:rPr>
                <w:rFonts w:ascii="Arial Narrow" w:hAnsi="Arial Narrow"/>
                <w:noProof/>
                <w:webHidden/>
              </w:rPr>
              <w:fldChar w:fldCharType="separate"/>
            </w:r>
            <w:r w:rsidR="00CE28A8">
              <w:rPr>
                <w:rFonts w:ascii="Arial Narrow" w:hAnsi="Arial Narrow"/>
                <w:noProof/>
                <w:webHidden/>
              </w:rPr>
              <w:t>68</w:t>
            </w:r>
            <w:r w:rsidR="00552574" w:rsidRPr="005A242A">
              <w:rPr>
                <w:rFonts w:ascii="Arial Narrow" w:hAnsi="Arial Narrow"/>
                <w:noProof/>
                <w:webHidden/>
              </w:rPr>
              <w:fldChar w:fldCharType="end"/>
            </w:r>
          </w:hyperlink>
        </w:p>
        <w:p w:rsidR="00552574" w:rsidRPr="005A242A" w:rsidRDefault="007C0694">
          <w:pPr>
            <w:pStyle w:val="TDC3"/>
            <w:tabs>
              <w:tab w:val="left" w:pos="1100"/>
              <w:tab w:val="right" w:leader="dot" w:pos="8828"/>
            </w:tabs>
            <w:rPr>
              <w:rFonts w:ascii="Arial Narrow" w:hAnsi="Arial Narrow" w:cstheme="minorBidi"/>
              <w:noProof/>
            </w:rPr>
          </w:pPr>
          <w:hyperlink w:anchor="_Toc14293745" w:history="1">
            <w:r w:rsidR="00552574" w:rsidRPr="005A242A">
              <w:rPr>
                <w:rStyle w:val="Hipervnculo"/>
                <w:rFonts w:ascii="Arial Narrow" w:hAnsi="Arial Narrow"/>
                <w:b/>
                <w:noProof/>
              </w:rPr>
              <w:t>1.4.7</w:t>
            </w:r>
            <w:r w:rsidR="00552574" w:rsidRPr="005A242A">
              <w:rPr>
                <w:rFonts w:ascii="Arial Narrow" w:hAnsi="Arial Narrow" w:cstheme="minorBidi"/>
                <w:noProof/>
              </w:rPr>
              <w:tab/>
            </w:r>
            <w:r w:rsidR="00552574" w:rsidRPr="005A242A">
              <w:rPr>
                <w:rStyle w:val="Hipervnculo"/>
                <w:rFonts w:ascii="Arial Narrow" w:hAnsi="Arial Narrow"/>
                <w:b/>
                <w:noProof/>
              </w:rPr>
              <w:t xml:space="preserve">Análisis del </w:t>
            </w:r>
            <w:r w:rsidR="009D7771" w:rsidRPr="005A242A">
              <w:rPr>
                <w:rStyle w:val="Hipervnculo"/>
                <w:rFonts w:ascii="Arial Narrow" w:hAnsi="Arial Narrow"/>
                <w:b/>
                <w:noProof/>
              </w:rPr>
              <w:t>Artículo</w:t>
            </w:r>
            <w:r w:rsidR="00552574" w:rsidRPr="005A242A">
              <w:rPr>
                <w:rStyle w:val="Hipervnculo"/>
                <w:rFonts w:ascii="Arial Narrow" w:hAnsi="Arial Narrow"/>
                <w:b/>
                <w:noProof/>
              </w:rPr>
              <w:t xml:space="preserve"> 146</w:t>
            </w:r>
            <w:r w:rsidR="00552574" w:rsidRPr="005A242A">
              <w:rPr>
                <w:rFonts w:ascii="Arial Narrow" w:hAnsi="Arial Narrow"/>
                <w:noProof/>
                <w:webHidden/>
              </w:rPr>
              <w:tab/>
            </w:r>
            <w:r w:rsidR="00552574" w:rsidRPr="005A242A">
              <w:rPr>
                <w:rFonts w:ascii="Arial Narrow" w:hAnsi="Arial Narrow"/>
                <w:noProof/>
                <w:webHidden/>
              </w:rPr>
              <w:fldChar w:fldCharType="begin"/>
            </w:r>
            <w:r w:rsidR="00552574" w:rsidRPr="005A242A">
              <w:rPr>
                <w:rFonts w:ascii="Arial Narrow" w:hAnsi="Arial Narrow"/>
                <w:noProof/>
                <w:webHidden/>
              </w:rPr>
              <w:instrText xml:space="preserve"> PAGEREF _Toc14293745 \h </w:instrText>
            </w:r>
            <w:r w:rsidR="00552574" w:rsidRPr="005A242A">
              <w:rPr>
                <w:rFonts w:ascii="Arial Narrow" w:hAnsi="Arial Narrow"/>
                <w:noProof/>
                <w:webHidden/>
              </w:rPr>
            </w:r>
            <w:r w:rsidR="00552574" w:rsidRPr="005A242A">
              <w:rPr>
                <w:rFonts w:ascii="Arial Narrow" w:hAnsi="Arial Narrow"/>
                <w:noProof/>
                <w:webHidden/>
              </w:rPr>
              <w:fldChar w:fldCharType="separate"/>
            </w:r>
            <w:r w:rsidR="00CE28A8">
              <w:rPr>
                <w:rFonts w:ascii="Arial Narrow" w:hAnsi="Arial Narrow"/>
                <w:noProof/>
                <w:webHidden/>
              </w:rPr>
              <w:t>69</w:t>
            </w:r>
            <w:r w:rsidR="00552574" w:rsidRPr="005A242A">
              <w:rPr>
                <w:rFonts w:ascii="Arial Narrow" w:hAnsi="Arial Narrow"/>
                <w:noProof/>
                <w:webHidden/>
              </w:rPr>
              <w:fldChar w:fldCharType="end"/>
            </w:r>
          </w:hyperlink>
        </w:p>
        <w:p w:rsidR="00552574" w:rsidRPr="005A242A" w:rsidRDefault="007C0694">
          <w:pPr>
            <w:pStyle w:val="TDC3"/>
            <w:tabs>
              <w:tab w:val="left" w:pos="1100"/>
              <w:tab w:val="right" w:leader="dot" w:pos="8828"/>
            </w:tabs>
            <w:rPr>
              <w:rFonts w:ascii="Arial Narrow" w:hAnsi="Arial Narrow" w:cstheme="minorBidi"/>
              <w:noProof/>
            </w:rPr>
          </w:pPr>
          <w:hyperlink w:anchor="_Toc14293746" w:history="1">
            <w:r w:rsidR="00552574" w:rsidRPr="005A242A">
              <w:rPr>
                <w:rStyle w:val="Hipervnculo"/>
                <w:rFonts w:ascii="Arial Narrow" w:hAnsi="Arial Narrow"/>
                <w:b/>
                <w:noProof/>
              </w:rPr>
              <w:t>1.4.8</w:t>
            </w:r>
            <w:r w:rsidR="00552574" w:rsidRPr="005A242A">
              <w:rPr>
                <w:rFonts w:ascii="Arial Narrow" w:hAnsi="Arial Narrow" w:cstheme="minorBidi"/>
                <w:noProof/>
              </w:rPr>
              <w:tab/>
            </w:r>
            <w:r w:rsidR="00552574" w:rsidRPr="005A242A">
              <w:rPr>
                <w:rStyle w:val="Hipervnculo"/>
                <w:rFonts w:ascii="Arial Narrow" w:hAnsi="Arial Narrow"/>
                <w:b/>
                <w:noProof/>
              </w:rPr>
              <w:t xml:space="preserve">Análisis del </w:t>
            </w:r>
            <w:r w:rsidR="009D7771" w:rsidRPr="005A242A">
              <w:rPr>
                <w:rStyle w:val="Hipervnculo"/>
                <w:rFonts w:ascii="Arial Narrow" w:hAnsi="Arial Narrow"/>
                <w:b/>
                <w:noProof/>
              </w:rPr>
              <w:t>Artículo</w:t>
            </w:r>
            <w:r w:rsidR="00552574" w:rsidRPr="005A242A">
              <w:rPr>
                <w:rStyle w:val="Hipervnculo"/>
                <w:rFonts w:ascii="Arial Narrow" w:hAnsi="Arial Narrow"/>
                <w:b/>
                <w:noProof/>
              </w:rPr>
              <w:t xml:space="preserve"> 147</w:t>
            </w:r>
            <w:r w:rsidR="00552574" w:rsidRPr="005A242A">
              <w:rPr>
                <w:rFonts w:ascii="Arial Narrow" w:hAnsi="Arial Narrow"/>
                <w:noProof/>
                <w:webHidden/>
              </w:rPr>
              <w:tab/>
            </w:r>
            <w:r w:rsidR="00552574" w:rsidRPr="005A242A">
              <w:rPr>
                <w:rFonts w:ascii="Arial Narrow" w:hAnsi="Arial Narrow"/>
                <w:noProof/>
                <w:webHidden/>
              </w:rPr>
              <w:fldChar w:fldCharType="begin"/>
            </w:r>
            <w:r w:rsidR="00552574" w:rsidRPr="005A242A">
              <w:rPr>
                <w:rFonts w:ascii="Arial Narrow" w:hAnsi="Arial Narrow"/>
                <w:noProof/>
                <w:webHidden/>
              </w:rPr>
              <w:instrText xml:space="preserve"> PAGEREF _Toc14293746 \h </w:instrText>
            </w:r>
            <w:r w:rsidR="00552574" w:rsidRPr="005A242A">
              <w:rPr>
                <w:rFonts w:ascii="Arial Narrow" w:hAnsi="Arial Narrow"/>
                <w:noProof/>
                <w:webHidden/>
              </w:rPr>
            </w:r>
            <w:r w:rsidR="00552574" w:rsidRPr="005A242A">
              <w:rPr>
                <w:rFonts w:ascii="Arial Narrow" w:hAnsi="Arial Narrow"/>
                <w:noProof/>
                <w:webHidden/>
              </w:rPr>
              <w:fldChar w:fldCharType="separate"/>
            </w:r>
            <w:r w:rsidR="00CE28A8">
              <w:rPr>
                <w:rFonts w:ascii="Arial Narrow" w:hAnsi="Arial Narrow"/>
                <w:noProof/>
                <w:webHidden/>
              </w:rPr>
              <w:t>70</w:t>
            </w:r>
            <w:r w:rsidR="00552574" w:rsidRPr="005A242A">
              <w:rPr>
                <w:rFonts w:ascii="Arial Narrow" w:hAnsi="Arial Narrow"/>
                <w:noProof/>
                <w:webHidden/>
              </w:rPr>
              <w:fldChar w:fldCharType="end"/>
            </w:r>
          </w:hyperlink>
        </w:p>
        <w:p w:rsidR="00552574" w:rsidRPr="005A242A" w:rsidRDefault="007C0694">
          <w:pPr>
            <w:pStyle w:val="TDC1"/>
            <w:tabs>
              <w:tab w:val="left" w:pos="440"/>
              <w:tab w:val="right" w:leader="dot" w:pos="8828"/>
            </w:tabs>
            <w:rPr>
              <w:rFonts w:ascii="Arial Narrow" w:hAnsi="Arial Narrow" w:cstheme="minorBidi"/>
              <w:noProof/>
            </w:rPr>
          </w:pPr>
          <w:hyperlink w:anchor="_Toc14293747" w:history="1">
            <w:r w:rsidR="00552574" w:rsidRPr="005A242A">
              <w:rPr>
                <w:rStyle w:val="Hipervnculo"/>
                <w:rFonts w:ascii="Arial Narrow" w:hAnsi="Arial Narrow"/>
                <w:b/>
                <w:noProof/>
              </w:rPr>
              <w:t>2.</w:t>
            </w:r>
            <w:r w:rsidR="00552574" w:rsidRPr="005A242A">
              <w:rPr>
                <w:rFonts w:ascii="Arial Narrow" w:hAnsi="Arial Narrow" w:cstheme="minorBidi"/>
                <w:noProof/>
              </w:rPr>
              <w:tab/>
            </w:r>
            <w:r w:rsidR="00552574" w:rsidRPr="005A242A">
              <w:rPr>
                <w:rStyle w:val="Hipervnculo"/>
                <w:rFonts w:ascii="Arial Narrow" w:hAnsi="Arial Narrow"/>
                <w:b/>
                <w:noProof/>
              </w:rPr>
              <w:t>PODER LEGISLATIVO</w:t>
            </w:r>
            <w:r w:rsidR="00552574" w:rsidRPr="005A242A">
              <w:rPr>
                <w:rFonts w:ascii="Arial Narrow" w:hAnsi="Arial Narrow"/>
                <w:noProof/>
                <w:webHidden/>
              </w:rPr>
              <w:tab/>
            </w:r>
            <w:r w:rsidR="00552574" w:rsidRPr="005A242A">
              <w:rPr>
                <w:rFonts w:ascii="Arial Narrow" w:hAnsi="Arial Narrow"/>
                <w:noProof/>
                <w:webHidden/>
              </w:rPr>
              <w:fldChar w:fldCharType="begin"/>
            </w:r>
            <w:r w:rsidR="00552574" w:rsidRPr="005A242A">
              <w:rPr>
                <w:rFonts w:ascii="Arial Narrow" w:hAnsi="Arial Narrow"/>
                <w:noProof/>
                <w:webHidden/>
              </w:rPr>
              <w:instrText xml:space="preserve"> PAGEREF _Toc14293747 \h </w:instrText>
            </w:r>
            <w:r w:rsidR="00552574" w:rsidRPr="005A242A">
              <w:rPr>
                <w:rFonts w:ascii="Arial Narrow" w:hAnsi="Arial Narrow"/>
                <w:noProof/>
                <w:webHidden/>
              </w:rPr>
            </w:r>
            <w:r w:rsidR="00552574" w:rsidRPr="005A242A">
              <w:rPr>
                <w:rFonts w:ascii="Arial Narrow" w:hAnsi="Arial Narrow"/>
                <w:noProof/>
                <w:webHidden/>
              </w:rPr>
              <w:fldChar w:fldCharType="separate"/>
            </w:r>
            <w:r w:rsidR="00CE28A8">
              <w:rPr>
                <w:rFonts w:ascii="Arial Narrow" w:hAnsi="Arial Narrow"/>
                <w:noProof/>
                <w:webHidden/>
              </w:rPr>
              <w:t>71</w:t>
            </w:r>
            <w:r w:rsidR="00552574" w:rsidRPr="005A242A">
              <w:rPr>
                <w:rFonts w:ascii="Arial Narrow" w:hAnsi="Arial Narrow"/>
                <w:noProof/>
                <w:webHidden/>
              </w:rPr>
              <w:fldChar w:fldCharType="end"/>
            </w:r>
          </w:hyperlink>
        </w:p>
        <w:p w:rsidR="00552574" w:rsidRPr="005A242A" w:rsidRDefault="007C0694">
          <w:pPr>
            <w:pStyle w:val="TDC3"/>
            <w:tabs>
              <w:tab w:val="left" w:pos="1100"/>
              <w:tab w:val="right" w:leader="dot" w:pos="8828"/>
            </w:tabs>
            <w:rPr>
              <w:rFonts w:ascii="Arial Narrow" w:hAnsi="Arial Narrow" w:cstheme="minorBidi"/>
              <w:noProof/>
            </w:rPr>
          </w:pPr>
          <w:hyperlink w:anchor="_Toc14293748" w:history="1">
            <w:r w:rsidR="00552574" w:rsidRPr="005A242A">
              <w:rPr>
                <w:rStyle w:val="Hipervnculo"/>
                <w:rFonts w:ascii="Arial Narrow" w:hAnsi="Arial Narrow"/>
                <w:b/>
                <w:noProof/>
              </w:rPr>
              <w:t>2.1</w:t>
            </w:r>
            <w:r w:rsidR="00552574" w:rsidRPr="005A242A">
              <w:rPr>
                <w:rFonts w:ascii="Arial Narrow" w:hAnsi="Arial Narrow" w:cstheme="minorBidi"/>
                <w:noProof/>
              </w:rPr>
              <w:tab/>
            </w:r>
            <w:r w:rsidR="00552574" w:rsidRPr="005A242A">
              <w:rPr>
                <w:rStyle w:val="Hipervnculo"/>
                <w:rFonts w:ascii="Arial Narrow" w:hAnsi="Arial Narrow"/>
                <w:b/>
                <w:noProof/>
              </w:rPr>
              <w:t>Análisis global de cumplimiento del Poder Legislativo</w:t>
            </w:r>
            <w:r w:rsidR="00552574" w:rsidRPr="005A242A">
              <w:rPr>
                <w:rFonts w:ascii="Arial Narrow" w:hAnsi="Arial Narrow"/>
                <w:noProof/>
                <w:webHidden/>
              </w:rPr>
              <w:tab/>
            </w:r>
            <w:r w:rsidR="00552574" w:rsidRPr="005A242A">
              <w:rPr>
                <w:rFonts w:ascii="Arial Narrow" w:hAnsi="Arial Narrow"/>
                <w:noProof/>
                <w:webHidden/>
              </w:rPr>
              <w:fldChar w:fldCharType="begin"/>
            </w:r>
            <w:r w:rsidR="00552574" w:rsidRPr="005A242A">
              <w:rPr>
                <w:rFonts w:ascii="Arial Narrow" w:hAnsi="Arial Narrow"/>
                <w:noProof/>
                <w:webHidden/>
              </w:rPr>
              <w:instrText xml:space="preserve"> PAGEREF _Toc14293748 \h </w:instrText>
            </w:r>
            <w:r w:rsidR="00552574" w:rsidRPr="005A242A">
              <w:rPr>
                <w:rFonts w:ascii="Arial Narrow" w:hAnsi="Arial Narrow"/>
                <w:noProof/>
                <w:webHidden/>
              </w:rPr>
            </w:r>
            <w:r w:rsidR="00552574" w:rsidRPr="005A242A">
              <w:rPr>
                <w:rFonts w:ascii="Arial Narrow" w:hAnsi="Arial Narrow"/>
                <w:noProof/>
                <w:webHidden/>
              </w:rPr>
              <w:fldChar w:fldCharType="separate"/>
            </w:r>
            <w:r w:rsidR="00CE28A8">
              <w:rPr>
                <w:rFonts w:ascii="Arial Narrow" w:hAnsi="Arial Narrow"/>
                <w:noProof/>
                <w:webHidden/>
              </w:rPr>
              <w:t>71</w:t>
            </w:r>
            <w:r w:rsidR="00552574" w:rsidRPr="005A242A">
              <w:rPr>
                <w:rFonts w:ascii="Arial Narrow" w:hAnsi="Arial Narrow"/>
                <w:noProof/>
                <w:webHidden/>
              </w:rPr>
              <w:fldChar w:fldCharType="end"/>
            </w:r>
          </w:hyperlink>
        </w:p>
        <w:p w:rsidR="00552574" w:rsidRPr="005A242A" w:rsidRDefault="007C0694">
          <w:pPr>
            <w:pStyle w:val="TDC3"/>
            <w:tabs>
              <w:tab w:val="left" w:pos="1100"/>
              <w:tab w:val="right" w:leader="dot" w:pos="8828"/>
            </w:tabs>
            <w:rPr>
              <w:rFonts w:ascii="Arial Narrow" w:hAnsi="Arial Narrow" w:cstheme="minorBidi"/>
              <w:noProof/>
            </w:rPr>
          </w:pPr>
          <w:hyperlink w:anchor="_Toc14293749" w:history="1">
            <w:r w:rsidR="00552574" w:rsidRPr="005A242A">
              <w:rPr>
                <w:rStyle w:val="Hipervnculo"/>
                <w:rFonts w:ascii="Arial Narrow" w:hAnsi="Arial Narrow"/>
                <w:b/>
                <w:noProof/>
              </w:rPr>
              <w:t>2.2</w:t>
            </w:r>
            <w:r w:rsidR="00552574" w:rsidRPr="005A242A">
              <w:rPr>
                <w:rFonts w:ascii="Arial Narrow" w:hAnsi="Arial Narrow" w:cstheme="minorBidi"/>
                <w:noProof/>
              </w:rPr>
              <w:tab/>
            </w:r>
            <w:r w:rsidR="00552574" w:rsidRPr="005A242A">
              <w:rPr>
                <w:rStyle w:val="Hipervnculo"/>
                <w:rFonts w:ascii="Arial Narrow" w:hAnsi="Arial Narrow"/>
                <w:b/>
                <w:noProof/>
              </w:rPr>
              <w:t xml:space="preserve">Análisis del </w:t>
            </w:r>
            <w:r w:rsidR="009D7771" w:rsidRPr="005A242A">
              <w:rPr>
                <w:rStyle w:val="Hipervnculo"/>
                <w:rFonts w:ascii="Arial Narrow" w:hAnsi="Arial Narrow"/>
                <w:b/>
                <w:noProof/>
              </w:rPr>
              <w:t>Artículo</w:t>
            </w:r>
            <w:r w:rsidR="00552574" w:rsidRPr="005A242A">
              <w:rPr>
                <w:rStyle w:val="Hipervnculo"/>
                <w:rFonts w:ascii="Arial Narrow" w:hAnsi="Arial Narrow"/>
                <w:b/>
                <w:noProof/>
              </w:rPr>
              <w:t xml:space="preserve"> 121 y sus respectivas fracciones</w:t>
            </w:r>
            <w:r w:rsidR="00552574" w:rsidRPr="005A242A">
              <w:rPr>
                <w:rFonts w:ascii="Arial Narrow" w:hAnsi="Arial Narrow"/>
                <w:noProof/>
                <w:webHidden/>
              </w:rPr>
              <w:tab/>
            </w:r>
            <w:r w:rsidR="00552574" w:rsidRPr="005A242A">
              <w:rPr>
                <w:rFonts w:ascii="Arial Narrow" w:hAnsi="Arial Narrow"/>
                <w:noProof/>
                <w:webHidden/>
              </w:rPr>
              <w:fldChar w:fldCharType="begin"/>
            </w:r>
            <w:r w:rsidR="00552574" w:rsidRPr="005A242A">
              <w:rPr>
                <w:rFonts w:ascii="Arial Narrow" w:hAnsi="Arial Narrow"/>
                <w:noProof/>
                <w:webHidden/>
              </w:rPr>
              <w:instrText xml:space="preserve"> PAGEREF _Toc14293749 \h </w:instrText>
            </w:r>
            <w:r w:rsidR="00552574" w:rsidRPr="005A242A">
              <w:rPr>
                <w:rFonts w:ascii="Arial Narrow" w:hAnsi="Arial Narrow"/>
                <w:noProof/>
                <w:webHidden/>
              </w:rPr>
            </w:r>
            <w:r w:rsidR="00552574" w:rsidRPr="005A242A">
              <w:rPr>
                <w:rFonts w:ascii="Arial Narrow" w:hAnsi="Arial Narrow"/>
                <w:noProof/>
                <w:webHidden/>
              </w:rPr>
              <w:fldChar w:fldCharType="separate"/>
            </w:r>
            <w:r w:rsidR="00CE28A8">
              <w:rPr>
                <w:rFonts w:ascii="Arial Narrow" w:hAnsi="Arial Narrow"/>
                <w:noProof/>
                <w:webHidden/>
              </w:rPr>
              <w:t>73</w:t>
            </w:r>
            <w:r w:rsidR="00552574" w:rsidRPr="005A242A">
              <w:rPr>
                <w:rFonts w:ascii="Arial Narrow" w:hAnsi="Arial Narrow"/>
                <w:noProof/>
                <w:webHidden/>
              </w:rPr>
              <w:fldChar w:fldCharType="end"/>
            </w:r>
          </w:hyperlink>
        </w:p>
        <w:p w:rsidR="00552574" w:rsidRPr="005A242A" w:rsidRDefault="007C0694">
          <w:pPr>
            <w:pStyle w:val="TDC3"/>
            <w:tabs>
              <w:tab w:val="left" w:pos="1100"/>
              <w:tab w:val="right" w:leader="dot" w:pos="8828"/>
            </w:tabs>
            <w:rPr>
              <w:rFonts w:ascii="Arial Narrow" w:hAnsi="Arial Narrow" w:cstheme="minorBidi"/>
              <w:noProof/>
            </w:rPr>
          </w:pPr>
          <w:hyperlink w:anchor="_Toc14293750" w:history="1">
            <w:r w:rsidR="00552574" w:rsidRPr="005A242A">
              <w:rPr>
                <w:rStyle w:val="Hipervnculo"/>
                <w:rFonts w:ascii="Arial Narrow" w:hAnsi="Arial Narrow"/>
                <w:b/>
                <w:noProof/>
              </w:rPr>
              <w:t>2.3</w:t>
            </w:r>
            <w:r w:rsidR="00552574" w:rsidRPr="005A242A">
              <w:rPr>
                <w:rFonts w:ascii="Arial Narrow" w:hAnsi="Arial Narrow" w:cstheme="minorBidi"/>
                <w:noProof/>
              </w:rPr>
              <w:tab/>
            </w:r>
            <w:r w:rsidR="00552574" w:rsidRPr="005A242A">
              <w:rPr>
                <w:rStyle w:val="Hipervnculo"/>
                <w:rFonts w:ascii="Arial Narrow" w:hAnsi="Arial Narrow"/>
                <w:b/>
                <w:noProof/>
              </w:rPr>
              <w:t xml:space="preserve">Análisis del </w:t>
            </w:r>
            <w:r w:rsidR="009D7771" w:rsidRPr="005A242A">
              <w:rPr>
                <w:rStyle w:val="Hipervnculo"/>
                <w:rFonts w:ascii="Arial Narrow" w:hAnsi="Arial Narrow"/>
                <w:b/>
                <w:noProof/>
              </w:rPr>
              <w:t>Artículo</w:t>
            </w:r>
            <w:r w:rsidR="00552574" w:rsidRPr="005A242A">
              <w:rPr>
                <w:rStyle w:val="Hipervnculo"/>
                <w:rFonts w:ascii="Arial Narrow" w:hAnsi="Arial Narrow"/>
                <w:b/>
                <w:noProof/>
              </w:rPr>
              <w:t xml:space="preserve"> 125 y sus respectivas fracciones</w:t>
            </w:r>
            <w:r w:rsidR="00552574" w:rsidRPr="005A242A">
              <w:rPr>
                <w:rFonts w:ascii="Arial Narrow" w:hAnsi="Arial Narrow"/>
                <w:noProof/>
                <w:webHidden/>
              </w:rPr>
              <w:tab/>
            </w:r>
            <w:r w:rsidR="00552574" w:rsidRPr="005A242A">
              <w:rPr>
                <w:rFonts w:ascii="Arial Narrow" w:hAnsi="Arial Narrow"/>
                <w:noProof/>
                <w:webHidden/>
              </w:rPr>
              <w:fldChar w:fldCharType="begin"/>
            </w:r>
            <w:r w:rsidR="00552574" w:rsidRPr="005A242A">
              <w:rPr>
                <w:rFonts w:ascii="Arial Narrow" w:hAnsi="Arial Narrow"/>
                <w:noProof/>
                <w:webHidden/>
              </w:rPr>
              <w:instrText xml:space="preserve"> PAGEREF _Toc14293750 \h </w:instrText>
            </w:r>
            <w:r w:rsidR="00552574" w:rsidRPr="005A242A">
              <w:rPr>
                <w:rFonts w:ascii="Arial Narrow" w:hAnsi="Arial Narrow"/>
                <w:noProof/>
                <w:webHidden/>
              </w:rPr>
            </w:r>
            <w:r w:rsidR="00552574" w:rsidRPr="005A242A">
              <w:rPr>
                <w:rFonts w:ascii="Arial Narrow" w:hAnsi="Arial Narrow"/>
                <w:noProof/>
                <w:webHidden/>
              </w:rPr>
              <w:fldChar w:fldCharType="separate"/>
            </w:r>
            <w:r w:rsidR="00CE28A8">
              <w:rPr>
                <w:rFonts w:ascii="Arial Narrow" w:hAnsi="Arial Narrow"/>
                <w:noProof/>
                <w:webHidden/>
              </w:rPr>
              <w:t>74</w:t>
            </w:r>
            <w:r w:rsidR="00552574" w:rsidRPr="005A242A">
              <w:rPr>
                <w:rFonts w:ascii="Arial Narrow" w:hAnsi="Arial Narrow"/>
                <w:noProof/>
                <w:webHidden/>
              </w:rPr>
              <w:fldChar w:fldCharType="end"/>
            </w:r>
          </w:hyperlink>
        </w:p>
        <w:p w:rsidR="00552574" w:rsidRPr="005A242A" w:rsidRDefault="007C0694">
          <w:pPr>
            <w:pStyle w:val="TDC3"/>
            <w:tabs>
              <w:tab w:val="left" w:pos="1100"/>
              <w:tab w:val="right" w:leader="dot" w:pos="8828"/>
            </w:tabs>
            <w:rPr>
              <w:rFonts w:ascii="Arial Narrow" w:hAnsi="Arial Narrow" w:cstheme="minorBidi"/>
              <w:noProof/>
            </w:rPr>
          </w:pPr>
          <w:hyperlink w:anchor="_Toc14293751" w:history="1">
            <w:r w:rsidR="00552574" w:rsidRPr="005A242A">
              <w:rPr>
                <w:rStyle w:val="Hipervnculo"/>
                <w:rFonts w:ascii="Arial Narrow" w:hAnsi="Arial Narrow"/>
                <w:b/>
                <w:noProof/>
              </w:rPr>
              <w:t>2.4</w:t>
            </w:r>
            <w:r w:rsidR="00552574" w:rsidRPr="005A242A">
              <w:rPr>
                <w:rFonts w:ascii="Arial Narrow" w:hAnsi="Arial Narrow" w:cstheme="minorBidi"/>
                <w:noProof/>
              </w:rPr>
              <w:tab/>
            </w:r>
            <w:r w:rsidR="00552574" w:rsidRPr="005A242A">
              <w:rPr>
                <w:rStyle w:val="Hipervnculo"/>
                <w:rFonts w:ascii="Arial Narrow" w:hAnsi="Arial Narrow"/>
                <w:b/>
                <w:noProof/>
              </w:rPr>
              <w:t xml:space="preserve">Análisis del </w:t>
            </w:r>
            <w:r w:rsidR="009D7771" w:rsidRPr="005A242A">
              <w:rPr>
                <w:rStyle w:val="Hipervnculo"/>
                <w:rFonts w:ascii="Arial Narrow" w:hAnsi="Arial Narrow"/>
                <w:b/>
                <w:noProof/>
              </w:rPr>
              <w:t>Artículo</w:t>
            </w:r>
            <w:r w:rsidR="00552574" w:rsidRPr="005A242A">
              <w:rPr>
                <w:rStyle w:val="Hipervnculo"/>
                <w:rFonts w:ascii="Arial Narrow" w:hAnsi="Arial Narrow"/>
                <w:b/>
                <w:noProof/>
              </w:rPr>
              <w:t xml:space="preserve"> 127 y sus respectivas fracciones</w:t>
            </w:r>
            <w:r w:rsidR="00552574" w:rsidRPr="005A242A">
              <w:rPr>
                <w:rFonts w:ascii="Arial Narrow" w:hAnsi="Arial Narrow"/>
                <w:noProof/>
                <w:webHidden/>
              </w:rPr>
              <w:tab/>
            </w:r>
            <w:r w:rsidR="00552574" w:rsidRPr="005A242A">
              <w:rPr>
                <w:rFonts w:ascii="Arial Narrow" w:hAnsi="Arial Narrow"/>
                <w:noProof/>
                <w:webHidden/>
              </w:rPr>
              <w:fldChar w:fldCharType="begin"/>
            </w:r>
            <w:r w:rsidR="00552574" w:rsidRPr="005A242A">
              <w:rPr>
                <w:rFonts w:ascii="Arial Narrow" w:hAnsi="Arial Narrow"/>
                <w:noProof/>
                <w:webHidden/>
              </w:rPr>
              <w:instrText xml:space="preserve"> PAGEREF _Toc14293751 \h </w:instrText>
            </w:r>
            <w:r w:rsidR="00552574" w:rsidRPr="005A242A">
              <w:rPr>
                <w:rFonts w:ascii="Arial Narrow" w:hAnsi="Arial Narrow"/>
                <w:noProof/>
                <w:webHidden/>
              </w:rPr>
            </w:r>
            <w:r w:rsidR="00552574" w:rsidRPr="005A242A">
              <w:rPr>
                <w:rFonts w:ascii="Arial Narrow" w:hAnsi="Arial Narrow"/>
                <w:noProof/>
                <w:webHidden/>
              </w:rPr>
              <w:fldChar w:fldCharType="separate"/>
            </w:r>
            <w:r w:rsidR="00CE28A8">
              <w:rPr>
                <w:rFonts w:ascii="Arial Narrow" w:hAnsi="Arial Narrow"/>
                <w:noProof/>
                <w:webHidden/>
              </w:rPr>
              <w:t>76</w:t>
            </w:r>
            <w:r w:rsidR="00552574" w:rsidRPr="005A242A">
              <w:rPr>
                <w:rFonts w:ascii="Arial Narrow" w:hAnsi="Arial Narrow"/>
                <w:noProof/>
                <w:webHidden/>
              </w:rPr>
              <w:fldChar w:fldCharType="end"/>
            </w:r>
          </w:hyperlink>
        </w:p>
        <w:p w:rsidR="00552574" w:rsidRPr="005A242A" w:rsidRDefault="007C0694">
          <w:pPr>
            <w:pStyle w:val="TDC3"/>
            <w:tabs>
              <w:tab w:val="left" w:pos="1100"/>
              <w:tab w:val="right" w:leader="dot" w:pos="8828"/>
            </w:tabs>
            <w:rPr>
              <w:rFonts w:ascii="Arial Narrow" w:hAnsi="Arial Narrow" w:cstheme="minorBidi"/>
              <w:noProof/>
            </w:rPr>
          </w:pPr>
          <w:hyperlink w:anchor="_Toc14293752" w:history="1">
            <w:r w:rsidR="00552574" w:rsidRPr="005A242A">
              <w:rPr>
                <w:rStyle w:val="Hipervnculo"/>
                <w:rFonts w:ascii="Arial Narrow" w:hAnsi="Arial Narrow"/>
                <w:b/>
                <w:noProof/>
              </w:rPr>
              <w:t>2.5</w:t>
            </w:r>
            <w:r w:rsidR="00552574" w:rsidRPr="005A242A">
              <w:rPr>
                <w:rFonts w:ascii="Arial Narrow" w:hAnsi="Arial Narrow" w:cstheme="minorBidi"/>
                <w:noProof/>
              </w:rPr>
              <w:tab/>
            </w:r>
            <w:r w:rsidR="00552574" w:rsidRPr="005A242A">
              <w:rPr>
                <w:rStyle w:val="Hipervnculo"/>
                <w:rFonts w:ascii="Arial Narrow" w:hAnsi="Arial Narrow"/>
                <w:b/>
                <w:noProof/>
              </w:rPr>
              <w:t xml:space="preserve">Análisis del </w:t>
            </w:r>
            <w:r w:rsidR="009D7771" w:rsidRPr="005A242A">
              <w:rPr>
                <w:rStyle w:val="Hipervnculo"/>
                <w:rFonts w:ascii="Arial Narrow" w:hAnsi="Arial Narrow"/>
                <w:b/>
                <w:noProof/>
              </w:rPr>
              <w:t>Artículo</w:t>
            </w:r>
            <w:r w:rsidR="00552574" w:rsidRPr="005A242A">
              <w:rPr>
                <w:rStyle w:val="Hipervnculo"/>
                <w:rFonts w:ascii="Arial Narrow" w:hAnsi="Arial Narrow"/>
                <w:b/>
                <w:noProof/>
              </w:rPr>
              <w:t xml:space="preserve"> 143</w:t>
            </w:r>
            <w:r w:rsidR="00552574" w:rsidRPr="005A242A">
              <w:rPr>
                <w:rFonts w:ascii="Arial Narrow" w:hAnsi="Arial Narrow"/>
                <w:noProof/>
                <w:webHidden/>
              </w:rPr>
              <w:tab/>
            </w:r>
            <w:r w:rsidR="00552574" w:rsidRPr="005A242A">
              <w:rPr>
                <w:rFonts w:ascii="Arial Narrow" w:hAnsi="Arial Narrow"/>
                <w:noProof/>
                <w:webHidden/>
              </w:rPr>
              <w:fldChar w:fldCharType="begin"/>
            </w:r>
            <w:r w:rsidR="00552574" w:rsidRPr="005A242A">
              <w:rPr>
                <w:rFonts w:ascii="Arial Narrow" w:hAnsi="Arial Narrow"/>
                <w:noProof/>
                <w:webHidden/>
              </w:rPr>
              <w:instrText xml:space="preserve"> PAGEREF _Toc14293752 \h </w:instrText>
            </w:r>
            <w:r w:rsidR="00552574" w:rsidRPr="005A242A">
              <w:rPr>
                <w:rFonts w:ascii="Arial Narrow" w:hAnsi="Arial Narrow"/>
                <w:noProof/>
                <w:webHidden/>
              </w:rPr>
            </w:r>
            <w:r w:rsidR="00552574" w:rsidRPr="005A242A">
              <w:rPr>
                <w:rFonts w:ascii="Arial Narrow" w:hAnsi="Arial Narrow"/>
                <w:noProof/>
                <w:webHidden/>
              </w:rPr>
              <w:fldChar w:fldCharType="separate"/>
            </w:r>
            <w:r w:rsidR="00CE28A8">
              <w:rPr>
                <w:rFonts w:ascii="Arial Narrow" w:hAnsi="Arial Narrow"/>
                <w:noProof/>
                <w:webHidden/>
              </w:rPr>
              <w:t>76</w:t>
            </w:r>
            <w:r w:rsidR="00552574" w:rsidRPr="005A242A">
              <w:rPr>
                <w:rFonts w:ascii="Arial Narrow" w:hAnsi="Arial Narrow"/>
                <w:noProof/>
                <w:webHidden/>
              </w:rPr>
              <w:fldChar w:fldCharType="end"/>
            </w:r>
          </w:hyperlink>
        </w:p>
        <w:p w:rsidR="00552574" w:rsidRPr="005A242A" w:rsidRDefault="007C0694">
          <w:pPr>
            <w:pStyle w:val="TDC3"/>
            <w:tabs>
              <w:tab w:val="left" w:pos="1100"/>
              <w:tab w:val="right" w:leader="dot" w:pos="8828"/>
            </w:tabs>
            <w:rPr>
              <w:rFonts w:ascii="Arial Narrow" w:hAnsi="Arial Narrow" w:cstheme="minorBidi"/>
              <w:noProof/>
            </w:rPr>
          </w:pPr>
          <w:hyperlink w:anchor="_Toc14293753" w:history="1">
            <w:r w:rsidR="00552574" w:rsidRPr="005A242A">
              <w:rPr>
                <w:rStyle w:val="Hipervnculo"/>
                <w:rFonts w:ascii="Arial Narrow" w:hAnsi="Arial Narrow"/>
                <w:b/>
                <w:noProof/>
              </w:rPr>
              <w:t>2.6</w:t>
            </w:r>
            <w:r w:rsidR="00552574" w:rsidRPr="005A242A">
              <w:rPr>
                <w:rFonts w:ascii="Arial Narrow" w:hAnsi="Arial Narrow" w:cstheme="minorBidi"/>
                <w:noProof/>
              </w:rPr>
              <w:tab/>
            </w:r>
            <w:r w:rsidR="00552574" w:rsidRPr="005A242A">
              <w:rPr>
                <w:rStyle w:val="Hipervnculo"/>
                <w:rFonts w:ascii="Arial Narrow" w:hAnsi="Arial Narrow"/>
                <w:b/>
                <w:noProof/>
              </w:rPr>
              <w:t xml:space="preserve">Análisis del </w:t>
            </w:r>
            <w:r w:rsidR="009D7771" w:rsidRPr="005A242A">
              <w:rPr>
                <w:rStyle w:val="Hipervnculo"/>
                <w:rFonts w:ascii="Arial Narrow" w:hAnsi="Arial Narrow"/>
                <w:b/>
                <w:noProof/>
              </w:rPr>
              <w:t>Artículo</w:t>
            </w:r>
            <w:r w:rsidR="00552574" w:rsidRPr="005A242A">
              <w:rPr>
                <w:rStyle w:val="Hipervnculo"/>
                <w:rFonts w:ascii="Arial Narrow" w:hAnsi="Arial Narrow"/>
                <w:b/>
                <w:noProof/>
              </w:rPr>
              <w:t xml:space="preserve"> 145</w:t>
            </w:r>
            <w:r w:rsidR="00552574" w:rsidRPr="005A242A">
              <w:rPr>
                <w:rFonts w:ascii="Arial Narrow" w:hAnsi="Arial Narrow"/>
                <w:noProof/>
                <w:webHidden/>
              </w:rPr>
              <w:tab/>
            </w:r>
            <w:r w:rsidR="00552574" w:rsidRPr="005A242A">
              <w:rPr>
                <w:rFonts w:ascii="Arial Narrow" w:hAnsi="Arial Narrow"/>
                <w:noProof/>
                <w:webHidden/>
              </w:rPr>
              <w:fldChar w:fldCharType="begin"/>
            </w:r>
            <w:r w:rsidR="00552574" w:rsidRPr="005A242A">
              <w:rPr>
                <w:rFonts w:ascii="Arial Narrow" w:hAnsi="Arial Narrow"/>
                <w:noProof/>
                <w:webHidden/>
              </w:rPr>
              <w:instrText xml:space="preserve"> PAGEREF _Toc14293753 \h </w:instrText>
            </w:r>
            <w:r w:rsidR="00552574" w:rsidRPr="005A242A">
              <w:rPr>
                <w:rFonts w:ascii="Arial Narrow" w:hAnsi="Arial Narrow"/>
                <w:noProof/>
                <w:webHidden/>
              </w:rPr>
            </w:r>
            <w:r w:rsidR="00552574" w:rsidRPr="005A242A">
              <w:rPr>
                <w:rFonts w:ascii="Arial Narrow" w:hAnsi="Arial Narrow"/>
                <w:noProof/>
                <w:webHidden/>
              </w:rPr>
              <w:fldChar w:fldCharType="separate"/>
            </w:r>
            <w:r w:rsidR="00CE28A8">
              <w:rPr>
                <w:rFonts w:ascii="Arial Narrow" w:hAnsi="Arial Narrow"/>
                <w:noProof/>
                <w:webHidden/>
              </w:rPr>
              <w:t>77</w:t>
            </w:r>
            <w:r w:rsidR="00552574" w:rsidRPr="005A242A">
              <w:rPr>
                <w:rFonts w:ascii="Arial Narrow" w:hAnsi="Arial Narrow"/>
                <w:noProof/>
                <w:webHidden/>
              </w:rPr>
              <w:fldChar w:fldCharType="end"/>
            </w:r>
          </w:hyperlink>
        </w:p>
        <w:p w:rsidR="00552574" w:rsidRPr="005A242A" w:rsidRDefault="007C0694">
          <w:pPr>
            <w:pStyle w:val="TDC3"/>
            <w:tabs>
              <w:tab w:val="left" w:pos="1100"/>
              <w:tab w:val="right" w:leader="dot" w:pos="8828"/>
            </w:tabs>
            <w:rPr>
              <w:rFonts w:ascii="Arial Narrow" w:hAnsi="Arial Narrow" w:cstheme="minorBidi"/>
              <w:noProof/>
            </w:rPr>
          </w:pPr>
          <w:hyperlink w:anchor="_Toc14293754" w:history="1">
            <w:r w:rsidR="00552574" w:rsidRPr="005A242A">
              <w:rPr>
                <w:rStyle w:val="Hipervnculo"/>
                <w:rFonts w:ascii="Arial Narrow" w:hAnsi="Arial Narrow"/>
                <w:b/>
                <w:noProof/>
              </w:rPr>
              <w:t>2.7</w:t>
            </w:r>
            <w:r w:rsidR="00552574" w:rsidRPr="005A242A">
              <w:rPr>
                <w:rFonts w:ascii="Arial Narrow" w:hAnsi="Arial Narrow" w:cstheme="minorBidi"/>
                <w:noProof/>
              </w:rPr>
              <w:tab/>
            </w:r>
            <w:r w:rsidR="00552574" w:rsidRPr="005A242A">
              <w:rPr>
                <w:rStyle w:val="Hipervnculo"/>
                <w:rFonts w:ascii="Arial Narrow" w:hAnsi="Arial Narrow"/>
                <w:b/>
                <w:noProof/>
              </w:rPr>
              <w:t xml:space="preserve">Análisis del </w:t>
            </w:r>
            <w:r w:rsidR="009D7771" w:rsidRPr="005A242A">
              <w:rPr>
                <w:rStyle w:val="Hipervnculo"/>
                <w:rFonts w:ascii="Arial Narrow" w:hAnsi="Arial Narrow"/>
                <w:b/>
                <w:noProof/>
              </w:rPr>
              <w:t>Artículo</w:t>
            </w:r>
            <w:r w:rsidR="00552574" w:rsidRPr="005A242A">
              <w:rPr>
                <w:rStyle w:val="Hipervnculo"/>
                <w:rFonts w:ascii="Arial Narrow" w:hAnsi="Arial Narrow"/>
                <w:b/>
                <w:noProof/>
              </w:rPr>
              <w:t xml:space="preserve"> 146</w:t>
            </w:r>
            <w:r w:rsidR="00552574" w:rsidRPr="005A242A">
              <w:rPr>
                <w:rFonts w:ascii="Arial Narrow" w:hAnsi="Arial Narrow"/>
                <w:noProof/>
                <w:webHidden/>
              </w:rPr>
              <w:tab/>
            </w:r>
            <w:r w:rsidR="00552574" w:rsidRPr="005A242A">
              <w:rPr>
                <w:rFonts w:ascii="Arial Narrow" w:hAnsi="Arial Narrow"/>
                <w:noProof/>
                <w:webHidden/>
              </w:rPr>
              <w:fldChar w:fldCharType="begin"/>
            </w:r>
            <w:r w:rsidR="00552574" w:rsidRPr="005A242A">
              <w:rPr>
                <w:rFonts w:ascii="Arial Narrow" w:hAnsi="Arial Narrow"/>
                <w:noProof/>
                <w:webHidden/>
              </w:rPr>
              <w:instrText xml:space="preserve"> PAGEREF _Toc14293754 \h </w:instrText>
            </w:r>
            <w:r w:rsidR="00552574" w:rsidRPr="005A242A">
              <w:rPr>
                <w:rFonts w:ascii="Arial Narrow" w:hAnsi="Arial Narrow"/>
                <w:noProof/>
                <w:webHidden/>
              </w:rPr>
            </w:r>
            <w:r w:rsidR="00552574" w:rsidRPr="005A242A">
              <w:rPr>
                <w:rFonts w:ascii="Arial Narrow" w:hAnsi="Arial Narrow"/>
                <w:noProof/>
                <w:webHidden/>
              </w:rPr>
              <w:fldChar w:fldCharType="separate"/>
            </w:r>
            <w:r w:rsidR="00CE28A8">
              <w:rPr>
                <w:rFonts w:ascii="Arial Narrow" w:hAnsi="Arial Narrow"/>
                <w:noProof/>
                <w:webHidden/>
              </w:rPr>
              <w:t>77</w:t>
            </w:r>
            <w:r w:rsidR="00552574" w:rsidRPr="005A242A">
              <w:rPr>
                <w:rFonts w:ascii="Arial Narrow" w:hAnsi="Arial Narrow"/>
                <w:noProof/>
                <w:webHidden/>
              </w:rPr>
              <w:fldChar w:fldCharType="end"/>
            </w:r>
          </w:hyperlink>
        </w:p>
        <w:p w:rsidR="00552574" w:rsidRPr="005A242A" w:rsidRDefault="007C0694">
          <w:pPr>
            <w:pStyle w:val="TDC3"/>
            <w:tabs>
              <w:tab w:val="left" w:pos="1100"/>
              <w:tab w:val="right" w:leader="dot" w:pos="8828"/>
            </w:tabs>
            <w:rPr>
              <w:rFonts w:ascii="Arial Narrow" w:hAnsi="Arial Narrow" w:cstheme="minorBidi"/>
              <w:noProof/>
            </w:rPr>
          </w:pPr>
          <w:hyperlink w:anchor="_Toc14293755" w:history="1">
            <w:r w:rsidR="00552574" w:rsidRPr="005A242A">
              <w:rPr>
                <w:rStyle w:val="Hipervnculo"/>
                <w:rFonts w:ascii="Arial Narrow" w:hAnsi="Arial Narrow"/>
                <w:b/>
                <w:noProof/>
              </w:rPr>
              <w:t>2.8</w:t>
            </w:r>
            <w:r w:rsidR="00552574" w:rsidRPr="005A242A">
              <w:rPr>
                <w:rFonts w:ascii="Arial Narrow" w:hAnsi="Arial Narrow" w:cstheme="minorBidi"/>
                <w:noProof/>
              </w:rPr>
              <w:tab/>
            </w:r>
            <w:r w:rsidR="00552574" w:rsidRPr="005A242A">
              <w:rPr>
                <w:rStyle w:val="Hipervnculo"/>
                <w:rFonts w:ascii="Arial Narrow" w:hAnsi="Arial Narrow"/>
                <w:b/>
                <w:noProof/>
              </w:rPr>
              <w:t xml:space="preserve">Análisis del </w:t>
            </w:r>
            <w:r w:rsidR="009D7771" w:rsidRPr="005A242A">
              <w:rPr>
                <w:rStyle w:val="Hipervnculo"/>
                <w:rFonts w:ascii="Arial Narrow" w:hAnsi="Arial Narrow"/>
                <w:b/>
                <w:noProof/>
              </w:rPr>
              <w:t>Artículo</w:t>
            </w:r>
            <w:r w:rsidR="00552574" w:rsidRPr="005A242A">
              <w:rPr>
                <w:rStyle w:val="Hipervnculo"/>
                <w:rFonts w:ascii="Arial Narrow" w:hAnsi="Arial Narrow"/>
                <w:b/>
                <w:noProof/>
              </w:rPr>
              <w:t xml:space="preserve"> 147</w:t>
            </w:r>
            <w:r w:rsidR="00552574" w:rsidRPr="005A242A">
              <w:rPr>
                <w:rFonts w:ascii="Arial Narrow" w:hAnsi="Arial Narrow"/>
                <w:noProof/>
                <w:webHidden/>
              </w:rPr>
              <w:tab/>
            </w:r>
            <w:r w:rsidR="00552574" w:rsidRPr="005A242A">
              <w:rPr>
                <w:rFonts w:ascii="Arial Narrow" w:hAnsi="Arial Narrow"/>
                <w:noProof/>
                <w:webHidden/>
              </w:rPr>
              <w:fldChar w:fldCharType="begin"/>
            </w:r>
            <w:r w:rsidR="00552574" w:rsidRPr="005A242A">
              <w:rPr>
                <w:rFonts w:ascii="Arial Narrow" w:hAnsi="Arial Narrow"/>
                <w:noProof/>
                <w:webHidden/>
              </w:rPr>
              <w:instrText xml:space="preserve"> PAGEREF _Toc14293755 \h </w:instrText>
            </w:r>
            <w:r w:rsidR="00552574" w:rsidRPr="005A242A">
              <w:rPr>
                <w:rFonts w:ascii="Arial Narrow" w:hAnsi="Arial Narrow"/>
                <w:noProof/>
                <w:webHidden/>
              </w:rPr>
            </w:r>
            <w:r w:rsidR="00552574" w:rsidRPr="005A242A">
              <w:rPr>
                <w:rFonts w:ascii="Arial Narrow" w:hAnsi="Arial Narrow"/>
                <w:noProof/>
                <w:webHidden/>
              </w:rPr>
              <w:fldChar w:fldCharType="separate"/>
            </w:r>
            <w:r w:rsidR="00CE28A8">
              <w:rPr>
                <w:rFonts w:ascii="Arial Narrow" w:hAnsi="Arial Narrow"/>
                <w:noProof/>
                <w:webHidden/>
              </w:rPr>
              <w:t>78</w:t>
            </w:r>
            <w:r w:rsidR="00552574" w:rsidRPr="005A242A">
              <w:rPr>
                <w:rFonts w:ascii="Arial Narrow" w:hAnsi="Arial Narrow"/>
                <w:noProof/>
                <w:webHidden/>
              </w:rPr>
              <w:fldChar w:fldCharType="end"/>
            </w:r>
          </w:hyperlink>
        </w:p>
        <w:p w:rsidR="00552574" w:rsidRPr="005A242A" w:rsidRDefault="007C0694">
          <w:pPr>
            <w:pStyle w:val="TDC1"/>
            <w:tabs>
              <w:tab w:val="left" w:pos="440"/>
              <w:tab w:val="right" w:leader="dot" w:pos="8828"/>
            </w:tabs>
            <w:rPr>
              <w:rFonts w:ascii="Arial Narrow" w:hAnsi="Arial Narrow" w:cstheme="minorBidi"/>
              <w:noProof/>
            </w:rPr>
          </w:pPr>
          <w:hyperlink w:anchor="_Toc14293756" w:history="1">
            <w:r w:rsidR="00552574" w:rsidRPr="005A242A">
              <w:rPr>
                <w:rStyle w:val="Hipervnculo"/>
                <w:rFonts w:ascii="Arial Narrow" w:hAnsi="Arial Narrow"/>
                <w:b/>
                <w:noProof/>
              </w:rPr>
              <w:t>3.</w:t>
            </w:r>
            <w:r w:rsidR="00552574" w:rsidRPr="005A242A">
              <w:rPr>
                <w:rFonts w:ascii="Arial Narrow" w:hAnsi="Arial Narrow" w:cstheme="minorBidi"/>
                <w:noProof/>
              </w:rPr>
              <w:tab/>
            </w:r>
            <w:r w:rsidR="00552574" w:rsidRPr="005A242A">
              <w:rPr>
                <w:rStyle w:val="Hipervnculo"/>
                <w:rFonts w:ascii="Arial Narrow" w:hAnsi="Arial Narrow"/>
                <w:b/>
                <w:noProof/>
              </w:rPr>
              <w:t>PODER JUDICIAL</w:t>
            </w:r>
            <w:r w:rsidR="00552574" w:rsidRPr="005A242A">
              <w:rPr>
                <w:rFonts w:ascii="Arial Narrow" w:hAnsi="Arial Narrow"/>
                <w:noProof/>
                <w:webHidden/>
              </w:rPr>
              <w:tab/>
            </w:r>
            <w:r w:rsidR="00552574" w:rsidRPr="005A242A">
              <w:rPr>
                <w:rFonts w:ascii="Arial Narrow" w:hAnsi="Arial Narrow"/>
                <w:noProof/>
                <w:webHidden/>
              </w:rPr>
              <w:fldChar w:fldCharType="begin"/>
            </w:r>
            <w:r w:rsidR="00552574" w:rsidRPr="005A242A">
              <w:rPr>
                <w:rFonts w:ascii="Arial Narrow" w:hAnsi="Arial Narrow"/>
                <w:noProof/>
                <w:webHidden/>
              </w:rPr>
              <w:instrText xml:space="preserve"> PAGEREF _Toc14293756 \h </w:instrText>
            </w:r>
            <w:r w:rsidR="00552574" w:rsidRPr="005A242A">
              <w:rPr>
                <w:rFonts w:ascii="Arial Narrow" w:hAnsi="Arial Narrow"/>
                <w:noProof/>
                <w:webHidden/>
              </w:rPr>
            </w:r>
            <w:r w:rsidR="00552574" w:rsidRPr="005A242A">
              <w:rPr>
                <w:rFonts w:ascii="Arial Narrow" w:hAnsi="Arial Narrow"/>
                <w:noProof/>
                <w:webHidden/>
              </w:rPr>
              <w:fldChar w:fldCharType="separate"/>
            </w:r>
            <w:r w:rsidR="00CE28A8">
              <w:rPr>
                <w:rFonts w:ascii="Arial Narrow" w:hAnsi="Arial Narrow"/>
                <w:noProof/>
                <w:webHidden/>
              </w:rPr>
              <w:t>79</w:t>
            </w:r>
            <w:r w:rsidR="00552574" w:rsidRPr="005A242A">
              <w:rPr>
                <w:rFonts w:ascii="Arial Narrow" w:hAnsi="Arial Narrow"/>
                <w:noProof/>
                <w:webHidden/>
              </w:rPr>
              <w:fldChar w:fldCharType="end"/>
            </w:r>
          </w:hyperlink>
        </w:p>
        <w:p w:rsidR="00552574" w:rsidRPr="005A242A" w:rsidRDefault="007C0694">
          <w:pPr>
            <w:pStyle w:val="TDC3"/>
            <w:tabs>
              <w:tab w:val="left" w:pos="1100"/>
              <w:tab w:val="right" w:leader="dot" w:pos="8828"/>
            </w:tabs>
            <w:rPr>
              <w:rFonts w:ascii="Arial Narrow" w:hAnsi="Arial Narrow" w:cstheme="minorBidi"/>
              <w:noProof/>
            </w:rPr>
          </w:pPr>
          <w:hyperlink w:anchor="_Toc14293757" w:history="1">
            <w:r w:rsidR="00552574" w:rsidRPr="005A242A">
              <w:rPr>
                <w:rStyle w:val="Hipervnculo"/>
                <w:rFonts w:ascii="Arial Narrow" w:hAnsi="Arial Narrow"/>
                <w:b/>
                <w:noProof/>
              </w:rPr>
              <w:t>3.1</w:t>
            </w:r>
            <w:r w:rsidR="00552574" w:rsidRPr="005A242A">
              <w:rPr>
                <w:rFonts w:ascii="Arial Narrow" w:hAnsi="Arial Narrow" w:cstheme="minorBidi"/>
                <w:noProof/>
              </w:rPr>
              <w:tab/>
            </w:r>
            <w:r w:rsidR="00552574" w:rsidRPr="005A242A">
              <w:rPr>
                <w:rStyle w:val="Hipervnculo"/>
                <w:rFonts w:ascii="Arial Narrow" w:hAnsi="Arial Narrow"/>
                <w:b/>
                <w:noProof/>
              </w:rPr>
              <w:t>Análisis global de cumplimiento del Poder Judicial</w:t>
            </w:r>
            <w:r w:rsidR="00552574" w:rsidRPr="005A242A">
              <w:rPr>
                <w:rFonts w:ascii="Arial Narrow" w:hAnsi="Arial Narrow"/>
                <w:noProof/>
                <w:webHidden/>
              </w:rPr>
              <w:tab/>
            </w:r>
            <w:r w:rsidR="00552574" w:rsidRPr="005A242A">
              <w:rPr>
                <w:rFonts w:ascii="Arial Narrow" w:hAnsi="Arial Narrow"/>
                <w:noProof/>
                <w:webHidden/>
              </w:rPr>
              <w:fldChar w:fldCharType="begin"/>
            </w:r>
            <w:r w:rsidR="00552574" w:rsidRPr="005A242A">
              <w:rPr>
                <w:rFonts w:ascii="Arial Narrow" w:hAnsi="Arial Narrow"/>
                <w:noProof/>
                <w:webHidden/>
              </w:rPr>
              <w:instrText xml:space="preserve"> PAGEREF _Toc14293757 \h </w:instrText>
            </w:r>
            <w:r w:rsidR="00552574" w:rsidRPr="005A242A">
              <w:rPr>
                <w:rFonts w:ascii="Arial Narrow" w:hAnsi="Arial Narrow"/>
                <w:noProof/>
                <w:webHidden/>
              </w:rPr>
            </w:r>
            <w:r w:rsidR="00552574" w:rsidRPr="005A242A">
              <w:rPr>
                <w:rFonts w:ascii="Arial Narrow" w:hAnsi="Arial Narrow"/>
                <w:noProof/>
                <w:webHidden/>
              </w:rPr>
              <w:fldChar w:fldCharType="separate"/>
            </w:r>
            <w:r w:rsidR="00CE28A8">
              <w:rPr>
                <w:rFonts w:ascii="Arial Narrow" w:hAnsi="Arial Narrow"/>
                <w:noProof/>
                <w:webHidden/>
              </w:rPr>
              <w:t>80</w:t>
            </w:r>
            <w:r w:rsidR="00552574" w:rsidRPr="005A242A">
              <w:rPr>
                <w:rFonts w:ascii="Arial Narrow" w:hAnsi="Arial Narrow"/>
                <w:noProof/>
                <w:webHidden/>
              </w:rPr>
              <w:fldChar w:fldCharType="end"/>
            </w:r>
          </w:hyperlink>
        </w:p>
        <w:p w:rsidR="00552574" w:rsidRPr="005A242A" w:rsidRDefault="007C0694">
          <w:pPr>
            <w:pStyle w:val="TDC3"/>
            <w:tabs>
              <w:tab w:val="left" w:pos="1100"/>
              <w:tab w:val="right" w:leader="dot" w:pos="8828"/>
            </w:tabs>
            <w:rPr>
              <w:rFonts w:ascii="Arial Narrow" w:hAnsi="Arial Narrow" w:cstheme="minorBidi"/>
              <w:noProof/>
            </w:rPr>
          </w:pPr>
          <w:hyperlink w:anchor="_Toc14293758" w:history="1">
            <w:r w:rsidR="00552574" w:rsidRPr="005A242A">
              <w:rPr>
                <w:rStyle w:val="Hipervnculo"/>
                <w:rFonts w:ascii="Arial Narrow" w:hAnsi="Arial Narrow"/>
                <w:b/>
                <w:noProof/>
              </w:rPr>
              <w:t>3.2</w:t>
            </w:r>
            <w:r w:rsidR="00552574" w:rsidRPr="005A242A">
              <w:rPr>
                <w:rFonts w:ascii="Arial Narrow" w:hAnsi="Arial Narrow" w:cstheme="minorBidi"/>
                <w:noProof/>
              </w:rPr>
              <w:tab/>
            </w:r>
            <w:r w:rsidR="00552574" w:rsidRPr="005A242A">
              <w:rPr>
                <w:rStyle w:val="Hipervnculo"/>
                <w:rFonts w:ascii="Arial Narrow" w:hAnsi="Arial Narrow"/>
                <w:b/>
                <w:noProof/>
              </w:rPr>
              <w:t xml:space="preserve">Análisis del </w:t>
            </w:r>
            <w:r w:rsidR="009D7771" w:rsidRPr="005A242A">
              <w:rPr>
                <w:rStyle w:val="Hipervnculo"/>
                <w:rFonts w:ascii="Arial Narrow" w:hAnsi="Arial Narrow"/>
                <w:b/>
                <w:noProof/>
              </w:rPr>
              <w:t>Artículo</w:t>
            </w:r>
            <w:r w:rsidR="00552574" w:rsidRPr="005A242A">
              <w:rPr>
                <w:rStyle w:val="Hipervnculo"/>
                <w:rFonts w:ascii="Arial Narrow" w:hAnsi="Arial Narrow"/>
                <w:b/>
                <w:noProof/>
              </w:rPr>
              <w:t xml:space="preserve"> 121 y sus respectivas fracciones</w:t>
            </w:r>
            <w:r w:rsidR="00552574" w:rsidRPr="005A242A">
              <w:rPr>
                <w:rFonts w:ascii="Arial Narrow" w:hAnsi="Arial Narrow"/>
                <w:noProof/>
                <w:webHidden/>
              </w:rPr>
              <w:tab/>
            </w:r>
            <w:r w:rsidR="00552574" w:rsidRPr="005A242A">
              <w:rPr>
                <w:rFonts w:ascii="Arial Narrow" w:hAnsi="Arial Narrow"/>
                <w:noProof/>
                <w:webHidden/>
              </w:rPr>
              <w:fldChar w:fldCharType="begin"/>
            </w:r>
            <w:r w:rsidR="00552574" w:rsidRPr="005A242A">
              <w:rPr>
                <w:rFonts w:ascii="Arial Narrow" w:hAnsi="Arial Narrow"/>
                <w:noProof/>
                <w:webHidden/>
              </w:rPr>
              <w:instrText xml:space="preserve"> PAGEREF _Toc14293758 \h </w:instrText>
            </w:r>
            <w:r w:rsidR="00552574" w:rsidRPr="005A242A">
              <w:rPr>
                <w:rFonts w:ascii="Arial Narrow" w:hAnsi="Arial Narrow"/>
                <w:noProof/>
                <w:webHidden/>
              </w:rPr>
            </w:r>
            <w:r w:rsidR="00552574" w:rsidRPr="005A242A">
              <w:rPr>
                <w:rFonts w:ascii="Arial Narrow" w:hAnsi="Arial Narrow"/>
                <w:noProof/>
                <w:webHidden/>
              </w:rPr>
              <w:fldChar w:fldCharType="separate"/>
            </w:r>
            <w:r w:rsidR="00CE28A8">
              <w:rPr>
                <w:rFonts w:ascii="Arial Narrow" w:hAnsi="Arial Narrow"/>
                <w:noProof/>
                <w:webHidden/>
              </w:rPr>
              <w:t>80</w:t>
            </w:r>
            <w:r w:rsidR="00552574" w:rsidRPr="005A242A">
              <w:rPr>
                <w:rFonts w:ascii="Arial Narrow" w:hAnsi="Arial Narrow"/>
                <w:noProof/>
                <w:webHidden/>
              </w:rPr>
              <w:fldChar w:fldCharType="end"/>
            </w:r>
          </w:hyperlink>
        </w:p>
        <w:p w:rsidR="00552574" w:rsidRPr="005A242A" w:rsidRDefault="007C0694">
          <w:pPr>
            <w:pStyle w:val="TDC3"/>
            <w:tabs>
              <w:tab w:val="left" w:pos="1100"/>
              <w:tab w:val="right" w:leader="dot" w:pos="8828"/>
            </w:tabs>
            <w:rPr>
              <w:rFonts w:ascii="Arial Narrow" w:hAnsi="Arial Narrow" w:cstheme="minorBidi"/>
              <w:noProof/>
            </w:rPr>
          </w:pPr>
          <w:hyperlink w:anchor="_Toc14293759" w:history="1">
            <w:r w:rsidR="00552574" w:rsidRPr="005A242A">
              <w:rPr>
                <w:rStyle w:val="Hipervnculo"/>
                <w:rFonts w:ascii="Arial Narrow" w:hAnsi="Arial Narrow"/>
                <w:b/>
                <w:noProof/>
              </w:rPr>
              <w:t>3.3</w:t>
            </w:r>
            <w:r w:rsidR="00552574" w:rsidRPr="005A242A">
              <w:rPr>
                <w:rFonts w:ascii="Arial Narrow" w:hAnsi="Arial Narrow" w:cstheme="minorBidi"/>
                <w:noProof/>
              </w:rPr>
              <w:tab/>
            </w:r>
            <w:r w:rsidR="00552574" w:rsidRPr="005A242A">
              <w:rPr>
                <w:rStyle w:val="Hipervnculo"/>
                <w:rFonts w:ascii="Arial Narrow" w:hAnsi="Arial Narrow"/>
                <w:b/>
                <w:noProof/>
              </w:rPr>
              <w:t xml:space="preserve">Análisis del </w:t>
            </w:r>
            <w:r w:rsidR="009D7771" w:rsidRPr="005A242A">
              <w:rPr>
                <w:rStyle w:val="Hipervnculo"/>
                <w:rFonts w:ascii="Arial Narrow" w:hAnsi="Arial Narrow"/>
                <w:b/>
                <w:noProof/>
              </w:rPr>
              <w:t>Artículo</w:t>
            </w:r>
            <w:r w:rsidR="00552574" w:rsidRPr="005A242A">
              <w:rPr>
                <w:rStyle w:val="Hipervnculo"/>
                <w:rFonts w:ascii="Arial Narrow" w:hAnsi="Arial Narrow"/>
                <w:b/>
                <w:noProof/>
              </w:rPr>
              <w:t xml:space="preserve"> 126 y sus respectivas fracciones</w:t>
            </w:r>
            <w:r w:rsidR="00552574" w:rsidRPr="005A242A">
              <w:rPr>
                <w:rFonts w:ascii="Arial Narrow" w:hAnsi="Arial Narrow"/>
                <w:noProof/>
                <w:webHidden/>
              </w:rPr>
              <w:tab/>
            </w:r>
            <w:r w:rsidR="00552574" w:rsidRPr="005A242A">
              <w:rPr>
                <w:rFonts w:ascii="Arial Narrow" w:hAnsi="Arial Narrow"/>
                <w:noProof/>
                <w:webHidden/>
              </w:rPr>
              <w:fldChar w:fldCharType="begin"/>
            </w:r>
            <w:r w:rsidR="00552574" w:rsidRPr="005A242A">
              <w:rPr>
                <w:rFonts w:ascii="Arial Narrow" w:hAnsi="Arial Narrow"/>
                <w:noProof/>
                <w:webHidden/>
              </w:rPr>
              <w:instrText xml:space="preserve"> PAGEREF _Toc14293759 \h </w:instrText>
            </w:r>
            <w:r w:rsidR="00552574" w:rsidRPr="005A242A">
              <w:rPr>
                <w:rFonts w:ascii="Arial Narrow" w:hAnsi="Arial Narrow"/>
                <w:noProof/>
                <w:webHidden/>
              </w:rPr>
            </w:r>
            <w:r w:rsidR="00552574" w:rsidRPr="005A242A">
              <w:rPr>
                <w:rFonts w:ascii="Arial Narrow" w:hAnsi="Arial Narrow"/>
                <w:noProof/>
                <w:webHidden/>
              </w:rPr>
              <w:fldChar w:fldCharType="separate"/>
            </w:r>
            <w:r w:rsidR="00CE28A8">
              <w:rPr>
                <w:rFonts w:ascii="Arial Narrow" w:hAnsi="Arial Narrow"/>
                <w:noProof/>
                <w:webHidden/>
              </w:rPr>
              <w:t>81</w:t>
            </w:r>
            <w:r w:rsidR="00552574" w:rsidRPr="005A242A">
              <w:rPr>
                <w:rFonts w:ascii="Arial Narrow" w:hAnsi="Arial Narrow"/>
                <w:noProof/>
                <w:webHidden/>
              </w:rPr>
              <w:fldChar w:fldCharType="end"/>
            </w:r>
          </w:hyperlink>
        </w:p>
        <w:p w:rsidR="00552574" w:rsidRPr="005A242A" w:rsidRDefault="007C0694">
          <w:pPr>
            <w:pStyle w:val="TDC3"/>
            <w:tabs>
              <w:tab w:val="left" w:pos="1100"/>
              <w:tab w:val="right" w:leader="dot" w:pos="8828"/>
            </w:tabs>
            <w:rPr>
              <w:rFonts w:ascii="Arial Narrow" w:hAnsi="Arial Narrow" w:cstheme="minorBidi"/>
              <w:noProof/>
            </w:rPr>
          </w:pPr>
          <w:hyperlink w:anchor="_Toc14293760" w:history="1">
            <w:r w:rsidR="00552574" w:rsidRPr="005A242A">
              <w:rPr>
                <w:rStyle w:val="Hipervnculo"/>
                <w:rFonts w:ascii="Arial Narrow" w:hAnsi="Arial Narrow"/>
                <w:b/>
                <w:noProof/>
              </w:rPr>
              <w:t>3.4</w:t>
            </w:r>
            <w:r w:rsidR="00552574" w:rsidRPr="005A242A">
              <w:rPr>
                <w:rFonts w:ascii="Arial Narrow" w:hAnsi="Arial Narrow" w:cstheme="minorBidi"/>
                <w:noProof/>
              </w:rPr>
              <w:tab/>
            </w:r>
            <w:r w:rsidR="00552574" w:rsidRPr="005A242A">
              <w:rPr>
                <w:rStyle w:val="Hipervnculo"/>
                <w:rFonts w:ascii="Arial Narrow" w:hAnsi="Arial Narrow"/>
                <w:b/>
                <w:noProof/>
              </w:rPr>
              <w:t xml:space="preserve">Análisis del </w:t>
            </w:r>
            <w:r w:rsidR="009D7771" w:rsidRPr="005A242A">
              <w:rPr>
                <w:rStyle w:val="Hipervnculo"/>
                <w:rFonts w:ascii="Arial Narrow" w:hAnsi="Arial Narrow"/>
                <w:b/>
                <w:noProof/>
              </w:rPr>
              <w:t>Artículo</w:t>
            </w:r>
            <w:r w:rsidR="00552574" w:rsidRPr="005A242A">
              <w:rPr>
                <w:rStyle w:val="Hipervnculo"/>
                <w:rFonts w:ascii="Arial Narrow" w:hAnsi="Arial Narrow"/>
                <w:b/>
                <w:noProof/>
              </w:rPr>
              <w:t xml:space="preserve"> 143</w:t>
            </w:r>
            <w:r w:rsidR="00552574" w:rsidRPr="005A242A">
              <w:rPr>
                <w:rFonts w:ascii="Arial Narrow" w:hAnsi="Arial Narrow"/>
                <w:noProof/>
                <w:webHidden/>
              </w:rPr>
              <w:tab/>
            </w:r>
            <w:r w:rsidR="00552574" w:rsidRPr="005A242A">
              <w:rPr>
                <w:rFonts w:ascii="Arial Narrow" w:hAnsi="Arial Narrow"/>
                <w:noProof/>
                <w:webHidden/>
              </w:rPr>
              <w:fldChar w:fldCharType="begin"/>
            </w:r>
            <w:r w:rsidR="00552574" w:rsidRPr="005A242A">
              <w:rPr>
                <w:rFonts w:ascii="Arial Narrow" w:hAnsi="Arial Narrow"/>
                <w:noProof/>
                <w:webHidden/>
              </w:rPr>
              <w:instrText xml:space="preserve"> PAGEREF _Toc14293760 \h </w:instrText>
            </w:r>
            <w:r w:rsidR="00552574" w:rsidRPr="005A242A">
              <w:rPr>
                <w:rFonts w:ascii="Arial Narrow" w:hAnsi="Arial Narrow"/>
                <w:noProof/>
                <w:webHidden/>
              </w:rPr>
            </w:r>
            <w:r w:rsidR="00552574" w:rsidRPr="005A242A">
              <w:rPr>
                <w:rFonts w:ascii="Arial Narrow" w:hAnsi="Arial Narrow"/>
                <w:noProof/>
                <w:webHidden/>
              </w:rPr>
              <w:fldChar w:fldCharType="separate"/>
            </w:r>
            <w:r w:rsidR="00CE28A8">
              <w:rPr>
                <w:rFonts w:ascii="Arial Narrow" w:hAnsi="Arial Narrow"/>
                <w:noProof/>
                <w:webHidden/>
              </w:rPr>
              <w:t>81</w:t>
            </w:r>
            <w:r w:rsidR="00552574" w:rsidRPr="005A242A">
              <w:rPr>
                <w:rFonts w:ascii="Arial Narrow" w:hAnsi="Arial Narrow"/>
                <w:noProof/>
                <w:webHidden/>
              </w:rPr>
              <w:fldChar w:fldCharType="end"/>
            </w:r>
          </w:hyperlink>
        </w:p>
        <w:p w:rsidR="00552574" w:rsidRPr="005A242A" w:rsidRDefault="007C0694">
          <w:pPr>
            <w:pStyle w:val="TDC3"/>
            <w:tabs>
              <w:tab w:val="left" w:pos="1100"/>
              <w:tab w:val="right" w:leader="dot" w:pos="8828"/>
            </w:tabs>
            <w:rPr>
              <w:rFonts w:ascii="Arial Narrow" w:hAnsi="Arial Narrow" w:cstheme="minorBidi"/>
              <w:noProof/>
            </w:rPr>
          </w:pPr>
          <w:hyperlink w:anchor="_Toc14293761" w:history="1">
            <w:r w:rsidR="00552574" w:rsidRPr="005A242A">
              <w:rPr>
                <w:rStyle w:val="Hipervnculo"/>
                <w:rFonts w:ascii="Arial Narrow" w:hAnsi="Arial Narrow"/>
                <w:b/>
                <w:noProof/>
              </w:rPr>
              <w:t>3.5</w:t>
            </w:r>
            <w:r w:rsidR="00552574" w:rsidRPr="005A242A">
              <w:rPr>
                <w:rFonts w:ascii="Arial Narrow" w:hAnsi="Arial Narrow" w:cstheme="minorBidi"/>
                <w:noProof/>
              </w:rPr>
              <w:tab/>
            </w:r>
            <w:r w:rsidR="00552574" w:rsidRPr="005A242A">
              <w:rPr>
                <w:rStyle w:val="Hipervnculo"/>
                <w:rFonts w:ascii="Arial Narrow" w:hAnsi="Arial Narrow"/>
                <w:b/>
                <w:noProof/>
              </w:rPr>
              <w:t xml:space="preserve">Análisis del </w:t>
            </w:r>
            <w:r w:rsidR="009D7771" w:rsidRPr="005A242A">
              <w:rPr>
                <w:rStyle w:val="Hipervnculo"/>
                <w:rFonts w:ascii="Arial Narrow" w:hAnsi="Arial Narrow"/>
                <w:b/>
                <w:noProof/>
              </w:rPr>
              <w:t>Artículo</w:t>
            </w:r>
            <w:r w:rsidR="00552574" w:rsidRPr="005A242A">
              <w:rPr>
                <w:rStyle w:val="Hipervnculo"/>
                <w:rFonts w:ascii="Arial Narrow" w:hAnsi="Arial Narrow"/>
                <w:b/>
                <w:noProof/>
              </w:rPr>
              <w:t xml:space="preserve"> 145</w:t>
            </w:r>
            <w:r w:rsidR="00552574" w:rsidRPr="005A242A">
              <w:rPr>
                <w:rFonts w:ascii="Arial Narrow" w:hAnsi="Arial Narrow"/>
                <w:noProof/>
                <w:webHidden/>
              </w:rPr>
              <w:tab/>
            </w:r>
            <w:r w:rsidR="00552574" w:rsidRPr="005A242A">
              <w:rPr>
                <w:rFonts w:ascii="Arial Narrow" w:hAnsi="Arial Narrow"/>
                <w:noProof/>
                <w:webHidden/>
              </w:rPr>
              <w:fldChar w:fldCharType="begin"/>
            </w:r>
            <w:r w:rsidR="00552574" w:rsidRPr="005A242A">
              <w:rPr>
                <w:rFonts w:ascii="Arial Narrow" w:hAnsi="Arial Narrow"/>
                <w:noProof/>
                <w:webHidden/>
              </w:rPr>
              <w:instrText xml:space="preserve"> PAGEREF _Toc14293761 \h </w:instrText>
            </w:r>
            <w:r w:rsidR="00552574" w:rsidRPr="005A242A">
              <w:rPr>
                <w:rFonts w:ascii="Arial Narrow" w:hAnsi="Arial Narrow"/>
                <w:noProof/>
                <w:webHidden/>
              </w:rPr>
            </w:r>
            <w:r w:rsidR="00552574" w:rsidRPr="005A242A">
              <w:rPr>
                <w:rFonts w:ascii="Arial Narrow" w:hAnsi="Arial Narrow"/>
                <w:noProof/>
                <w:webHidden/>
              </w:rPr>
              <w:fldChar w:fldCharType="separate"/>
            </w:r>
            <w:r w:rsidR="00CE28A8">
              <w:rPr>
                <w:rFonts w:ascii="Arial Narrow" w:hAnsi="Arial Narrow"/>
                <w:noProof/>
                <w:webHidden/>
              </w:rPr>
              <w:t>81</w:t>
            </w:r>
            <w:r w:rsidR="00552574" w:rsidRPr="005A242A">
              <w:rPr>
                <w:rFonts w:ascii="Arial Narrow" w:hAnsi="Arial Narrow"/>
                <w:noProof/>
                <w:webHidden/>
              </w:rPr>
              <w:fldChar w:fldCharType="end"/>
            </w:r>
          </w:hyperlink>
        </w:p>
        <w:p w:rsidR="00552574" w:rsidRPr="005A242A" w:rsidRDefault="007C0694">
          <w:pPr>
            <w:pStyle w:val="TDC3"/>
            <w:tabs>
              <w:tab w:val="left" w:pos="1100"/>
              <w:tab w:val="right" w:leader="dot" w:pos="8828"/>
            </w:tabs>
            <w:rPr>
              <w:rFonts w:ascii="Arial Narrow" w:hAnsi="Arial Narrow" w:cstheme="minorBidi"/>
              <w:noProof/>
            </w:rPr>
          </w:pPr>
          <w:hyperlink w:anchor="_Toc14293762" w:history="1">
            <w:r w:rsidR="00552574" w:rsidRPr="005A242A">
              <w:rPr>
                <w:rStyle w:val="Hipervnculo"/>
                <w:rFonts w:ascii="Arial Narrow" w:hAnsi="Arial Narrow"/>
                <w:b/>
                <w:noProof/>
              </w:rPr>
              <w:t>3.6</w:t>
            </w:r>
            <w:r w:rsidR="00552574" w:rsidRPr="005A242A">
              <w:rPr>
                <w:rFonts w:ascii="Arial Narrow" w:hAnsi="Arial Narrow" w:cstheme="minorBidi"/>
                <w:noProof/>
              </w:rPr>
              <w:tab/>
            </w:r>
            <w:r w:rsidR="00552574" w:rsidRPr="005A242A">
              <w:rPr>
                <w:rStyle w:val="Hipervnculo"/>
                <w:rFonts w:ascii="Arial Narrow" w:hAnsi="Arial Narrow"/>
                <w:b/>
                <w:noProof/>
              </w:rPr>
              <w:t xml:space="preserve">Análisis del </w:t>
            </w:r>
            <w:r w:rsidR="009D7771" w:rsidRPr="005A242A">
              <w:rPr>
                <w:rStyle w:val="Hipervnculo"/>
                <w:rFonts w:ascii="Arial Narrow" w:hAnsi="Arial Narrow"/>
                <w:b/>
                <w:noProof/>
              </w:rPr>
              <w:t>Artículo</w:t>
            </w:r>
            <w:r w:rsidR="00552574" w:rsidRPr="005A242A">
              <w:rPr>
                <w:rStyle w:val="Hipervnculo"/>
                <w:rFonts w:ascii="Arial Narrow" w:hAnsi="Arial Narrow"/>
                <w:b/>
                <w:noProof/>
              </w:rPr>
              <w:t xml:space="preserve"> 146</w:t>
            </w:r>
            <w:r w:rsidR="00552574" w:rsidRPr="005A242A">
              <w:rPr>
                <w:rFonts w:ascii="Arial Narrow" w:hAnsi="Arial Narrow"/>
                <w:noProof/>
                <w:webHidden/>
              </w:rPr>
              <w:tab/>
            </w:r>
            <w:r w:rsidR="00552574" w:rsidRPr="005A242A">
              <w:rPr>
                <w:rFonts w:ascii="Arial Narrow" w:hAnsi="Arial Narrow"/>
                <w:noProof/>
                <w:webHidden/>
              </w:rPr>
              <w:fldChar w:fldCharType="begin"/>
            </w:r>
            <w:r w:rsidR="00552574" w:rsidRPr="005A242A">
              <w:rPr>
                <w:rFonts w:ascii="Arial Narrow" w:hAnsi="Arial Narrow"/>
                <w:noProof/>
                <w:webHidden/>
              </w:rPr>
              <w:instrText xml:space="preserve"> PAGEREF _Toc14293762 \h </w:instrText>
            </w:r>
            <w:r w:rsidR="00552574" w:rsidRPr="005A242A">
              <w:rPr>
                <w:rFonts w:ascii="Arial Narrow" w:hAnsi="Arial Narrow"/>
                <w:noProof/>
                <w:webHidden/>
              </w:rPr>
            </w:r>
            <w:r w:rsidR="00552574" w:rsidRPr="005A242A">
              <w:rPr>
                <w:rFonts w:ascii="Arial Narrow" w:hAnsi="Arial Narrow"/>
                <w:noProof/>
                <w:webHidden/>
              </w:rPr>
              <w:fldChar w:fldCharType="separate"/>
            </w:r>
            <w:r w:rsidR="00CE28A8">
              <w:rPr>
                <w:rFonts w:ascii="Arial Narrow" w:hAnsi="Arial Narrow"/>
                <w:noProof/>
                <w:webHidden/>
              </w:rPr>
              <w:t>81</w:t>
            </w:r>
            <w:r w:rsidR="00552574" w:rsidRPr="005A242A">
              <w:rPr>
                <w:rFonts w:ascii="Arial Narrow" w:hAnsi="Arial Narrow"/>
                <w:noProof/>
                <w:webHidden/>
              </w:rPr>
              <w:fldChar w:fldCharType="end"/>
            </w:r>
          </w:hyperlink>
        </w:p>
        <w:p w:rsidR="00552574" w:rsidRPr="005A242A" w:rsidRDefault="007C0694">
          <w:pPr>
            <w:pStyle w:val="TDC3"/>
            <w:tabs>
              <w:tab w:val="left" w:pos="1100"/>
              <w:tab w:val="right" w:leader="dot" w:pos="8828"/>
            </w:tabs>
            <w:rPr>
              <w:rFonts w:ascii="Arial Narrow" w:hAnsi="Arial Narrow" w:cstheme="minorBidi"/>
              <w:noProof/>
            </w:rPr>
          </w:pPr>
          <w:hyperlink w:anchor="_Toc14293763" w:history="1">
            <w:r w:rsidR="00552574" w:rsidRPr="005A242A">
              <w:rPr>
                <w:rStyle w:val="Hipervnculo"/>
                <w:rFonts w:ascii="Arial Narrow" w:hAnsi="Arial Narrow"/>
                <w:b/>
                <w:noProof/>
              </w:rPr>
              <w:t>3.7</w:t>
            </w:r>
            <w:r w:rsidR="00552574" w:rsidRPr="005A242A">
              <w:rPr>
                <w:rFonts w:ascii="Arial Narrow" w:hAnsi="Arial Narrow" w:cstheme="minorBidi"/>
                <w:noProof/>
              </w:rPr>
              <w:tab/>
            </w:r>
            <w:r w:rsidR="00552574" w:rsidRPr="005A242A">
              <w:rPr>
                <w:rStyle w:val="Hipervnculo"/>
                <w:rFonts w:ascii="Arial Narrow" w:hAnsi="Arial Narrow"/>
                <w:b/>
                <w:noProof/>
              </w:rPr>
              <w:t xml:space="preserve">Análisis del </w:t>
            </w:r>
            <w:r w:rsidR="009D7771" w:rsidRPr="005A242A">
              <w:rPr>
                <w:rStyle w:val="Hipervnculo"/>
                <w:rFonts w:ascii="Arial Narrow" w:hAnsi="Arial Narrow"/>
                <w:b/>
                <w:noProof/>
              </w:rPr>
              <w:t>Artículo</w:t>
            </w:r>
            <w:r w:rsidR="00552574" w:rsidRPr="005A242A">
              <w:rPr>
                <w:rStyle w:val="Hipervnculo"/>
                <w:rFonts w:ascii="Arial Narrow" w:hAnsi="Arial Narrow"/>
                <w:b/>
                <w:noProof/>
              </w:rPr>
              <w:t xml:space="preserve"> 147</w:t>
            </w:r>
            <w:r w:rsidR="00552574" w:rsidRPr="005A242A">
              <w:rPr>
                <w:rFonts w:ascii="Arial Narrow" w:hAnsi="Arial Narrow"/>
                <w:noProof/>
                <w:webHidden/>
              </w:rPr>
              <w:tab/>
            </w:r>
            <w:r w:rsidR="00552574" w:rsidRPr="005A242A">
              <w:rPr>
                <w:rFonts w:ascii="Arial Narrow" w:hAnsi="Arial Narrow"/>
                <w:noProof/>
                <w:webHidden/>
              </w:rPr>
              <w:fldChar w:fldCharType="begin"/>
            </w:r>
            <w:r w:rsidR="00552574" w:rsidRPr="005A242A">
              <w:rPr>
                <w:rFonts w:ascii="Arial Narrow" w:hAnsi="Arial Narrow"/>
                <w:noProof/>
                <w:webHidden/>
              </w:rPr>
              <w:instrText xml:space="preserve"> PAGEREF _Toc14293763 \h </w:instrText>
            </w:r>
            <w:r w:rsidR="00552574" w:rsidRPr="005A242A">
              <w:rPr>
                <w:rFonts w:ascii="Arial Narrow" w:hAnsi="Arial Narrow"/>
                <w:noProof/>
                <w:webHidden/>
              </w:rPr>
            </w:r>
            <w:r w:rsidR="00552574" w:rsidRPr="005A242A">
              <w:rPr>
                <w:rFonts w:ascii="Arial Narrow" w:hAnsi="Arial Narrow"/>
                <w:noProof/>
                <w:webHidden/>
              </w:rPr>
              <w:fldChar w:fldCharType="separate"/>
            </w:r>
            <w:r w:rsidR="00CE28A8">
              <w:rPr>
                <w:rFonts w:ascii="Arial Narrow" w:hAnsi="Arial Narrow"/>
                <w:noProof/>
                <w:webHidden/>
              </w:rPr>
              <w:t>81</w:t>
            </w:r>
            <w:r w:rsidR="00552574" w:rsidRPr="005A242A">
              <w:rPr>
                <w:rFonts w:ascii="Arial Narrow" w:hAnsi="Arial Narrow"/>
                <w:noProof/>
                <w:webHidden/>
              </w:rPr>
              <w:fldChar w:fldCharType="end"/>
            </w:r>
          </w:hyperlink>
        </w:p>
        <w:p w:rsidR="00552574" w:rsidRPr="005A242A" w:rsidRDefault="007C0694">
          <w:pPr>
            <w:pStyle w:val="TDC1"/>
            <w:tabs>
              <w:tab w:val="left" w:pos="440"/>
              <w:tab w:val="right" w:leader="dot" w:pos="8828"/>
            </w:tabs>
            <w:rPr>
              <w:rFonts w:ascii="Arial Narrow" w:hAnsi="Arial Narrow" w:cstheme="minorBidi"/>
              <w:noProof/>
            </w:rPr>
          </w:pPr>
          <w:hyperlink w:anchor="_Toc14293764" w:history="1">
            <w:r w:rsidR="00552574" w:rsidRPr="005A242A">
              <w:rPr>
                <w:rStyle w:val="Hipervnculo"/>
                <w:rFonts w:ascii="Arial Narrow" w:hAnsi="Arial Narrow"/>
                <w:b/>
                <w:noProof/>
              </w:rPr>
              <w:t>4.</w:t>
            </w:r>
            <w:r w:rsidR="00552574" w:rsidRPr="005A242A">
              <w:rPr>
                <w:rFonts w:ascii="Arial Narrow" w:hAnsi="Arial Narrow" w:cstheme="minorBidi"/>
                <w:noProof/>
              </w:rPr>
              <w:tab/>
            </w:r>
            <w:r w:rsidR="00552574" w:rsidRPr="005A242A">
              <w:rPr>
                <w:rStyle w:val="Hipervnculo"/>
                <w:rFonts w:ascii="Arial Narrow" w:hAnsi="Arial Narrow"/>
                <w:b/>
                <w:noProof/>
              </w:rPr>
              <w:t>ÓRGANOS AUTÓNOMOS</w:t>
            </w:r>
            <w:r w:rsidR="00552574" w:rsidRPr="005A242A">
              <w:rPr>
                <w:rFonts w:ascii="Arial Narrow" w:hAnsi="Arial Narrow"/>
                <w:noProof/>
                <w:webHidden/>
              </w:rPr>
              <w:tab/>
            </w:r>
            <w:r w:rsidR="00552574" w:rsidRPr="005A242A">
              <w:rPr>
                <w:rFonts w:ascii="Arial Narrow" w:hAnsi="Arial Narrow"/>
                <w:noProof/>
                <w:webHidden/>
              </w:rPr>
              <w:fldChar w:fldCharType="begin"/>
            </w:r>
            <w:r w:rsidR="00552574" w:rsidRPr="005A242A">
              <w:rPr>
                <w:rFonts w:ascii="Arial Narrow" w:hAnsi="Arial Narrow"/>
                <w:noProof/>
                <w:webHidden/>
              </w:rPr>
              <w:instrText xml:space="preserve"> PAGEREF _Toc14293764 \h </w:instrText>
            </w:r>
            <w:r w:rsidR="00552574" w:rsidRPr="005A242A">
              <w:rPr>
                <w:rFonts w:ascii="Arial Narrow" w:hAnsi="Arial Narrow"/>
                <w:noProof/>
                <w:webHidden/>
              </w:rPr>
            </w:r>
            <w:r w:rsidR="00552574" w:rsidRPr="005A242A">
              <w:rPr>
                <w:rFonts w:ascii="Arial Narrow" w:hAnsi="Arial Narrow"/>
                <w:noProof/>
                <w:webHidden/>
              </w:rPr>
              <w:fldChar w:fldCharType="separate"/>
            </w:r>
            <w:r w:rsidR="00CE28A8">
              <w:rPr>
                <w:rFonts w:ascii="Arial Narrow" w:hAnsi="Arial Narrow"/>
                <w:noProof/>
                <w:webHidden/>
              </w:rPr>
              <w:t>82</w:t>
            </w:r>
            <w:r w:rsidR="00552574" w:rsidRPr="005A242A">
              <w:rPr>
                <w:rFonts w:ascii="Arial Narrow" w:hAnsi="Arial Narrow"/>
                <w:noProof/>
                <w:webHidden/>
              </w:rPr>
              <w:fldChar w:fldCharType="end"/>
            </w:r>
          </w:hyperlink>
        </w:p>
        <w:p w:rsidR="00552574" w:rsidRPr="005A242A" w:rsidRDefault="007C0694">
          <w:pPr>
            <w:pStyle w:val="TDC3"/>
            <w:tabs>
              <w:tab w:val="left" w:pos="1100"/>
              <w:tab w:val="right" w:leader="dot" w:pos="8828"/>
            </w:tabs>
            <w:rPr>
              <w:rFonts w:ascii="Arial Narrow" w:hAnsi="Arial Narrow" w:cstheme="minorBidi"/>
              <w:noProof/>
            </w:rPr>
          </w:pPr>
          <w:hyperlink w:anchor="_Toc14293765" w:history="1">
            <w:r w:rsidR="00552574" w:rsidRPr="005A242A">
              <w:rPr>
                <w:rStyle w:val="Hipervnculo"/>
                <w:rFonts w:ascii="Arial Narrow" w:hAnsi="Arial Narrow"/>
                <w:b/>
                <w:noProof/>
              </w:rPr>
              <w:t>4.1</w:t>
            </w:r>
            <w:r w:rsidR="00552574" w:rsidRPr="005A242A">
              <w:rPr>
                <w:rFonts w:ascii="Arial Narrow" w:hAnsi="Arial Narrow" w:cstheme="minorBidi"/>
                <w:noProof/>
              </w:rPr>
              <w:tab/>
            </w:r>
            <w:r w:rsidR="00552574" w:rsidRPr="005A242A">
              <w:rPr>
                <w:rStyle w:val="Hipervnculo"/>
                <w:rFonts w:ascii="Arial Narrow" w:hAnsi="Arial Narrow"/>
                <w:b/>
                <w:noProof/>
              </w:rPr>
              <w:t>Análisis global de cumplimiento de los Órganos Autónomos</w:t>
            </w:r>
            <w:r w:rsidR="00552574" w:rsidRPr="005A242A">
              <w:rPr>
                <w:rFonts w:ascii="Arial Narrow" w:hAnsi="Arial Narrow"/>
                <w:noProof/>
                <w:webHidden/>
              </w:rPr>
              <w:tab/>
            </w:r>
            <w:r w:rsidR="00552574" w:rsidRPr="005A242A">
              <w:rPr>
                <w:rFonts w:ascii="Arial Narrow" w:hAnsi="Arial Narrow"/>
                <w:noProof/>
                <w:webHidden/>
              </w:rPr>
              <w:fldChar w:fldCharType="begin"/>
            </w:r>
            <w:r w:rsidR="00552574" w:rsidRPr="005A242A">
              <w:rPr>
                <w:rFonts w:ascii="Arial Narrow" w:hAnsi="Arial Narrow"/>
                <w:noProof/>
                <w:webHidden/>
              </w:rPr>
              <w:instrText xml:space="preserve"> PAGEREF _Toc14293765 \h </w:instrText>
            </w:r>
            <w:r w:rsidR="00552574" w:rsidRPr="005A242A">
              <w:rPr>
                <w:rFonts w:ascii="Arial Narrow" w:hAnsi="Arial Narrow"/>
                <w:noProof/>
                <w:webHidden/>
              </w:rPr>
            </w:r>
            <w:r w:rsidR="00552574" w:rsidRPr="005A242A">
              <w:rPr>
                <w:rFonts w:ascii="Arial Narrow" w:hAnsi="Arial Narrow"/>
                <w:noProof/>
                <w:webHidden/>
              </w:rPr>
              <w:fldChar w:fldCharType="separate"/>
            </w:r>
            <w:r w:rsidR="00CE28A8">
              <w:rPr>
                <w:rFonts w:ascii="Arial Narrow" w:hAnsi="Arial Narrow"/>
                <w:noProof/>
                <w:webHidden/>
              </w:rPr>
              <w:t>83</w:t>
            </w:r>
            <w:r w:rsidR="00552574" w:rsidRPr="005A242A">
              <w:rPr>
                <w:rFonts w:ascii="Arial Narrow" w:hAnsi="Arial Narrow"/>
                <w:noProof/>
                <w:webHidden/>
              </w:rPr>
              <w:fldChar w:fldCharType="end"/>
            </w:r>
          </w:hyperlink>
        </w:p>
        <w:p w:rsidR="00552574" w:rsidRPr="005A242A" w:rsidRDefault="007C0694">
          <w:pPr>
            <w:pStyle w:val="TDC3"/>
            <w:tabs>
              <w:tab w:val="left" w:pos="1100"/>
              <w:tab w:val="right" w:leader="dot" w:pos="8828"/>
            </w:tabs>
            <w:rPr>
              <w:rFonts w:ascii="Arial Narrow" w:hAnsi="Arial Narrow" w:cstheme="minorBidi"/>
              <w:noProof/>
            </w:rPr>
          </w:pPr>
          <w:hyperlink w:anchor="_Toc14293766" w:history="1">
            <w:r w:rsidR="00552574" w:rsidRPr="005A242A">
              <w:rPr>
                <w:rStyle w:val="Hipervnculo"/>
                <w:rFonts w:ascii="Arial Narrow" w:hAnsi="Arial Narrow"/>
                <w:b/>
                <w:noProof/>
              </w:rPr>
              <w:t>4.2</w:t>
            </w:r>
            <w:r w:rsidR="00552574" w:rsidRPr="005A242A">
              <w:rPr>
                <w:rFonts w:ascii="Arial Narrow" w:hAnsi="Arial Narrow" w:cstheme="minorBidi"/>
                <w:noProof/>
              </w:rPr>
              <w:tab/>
            </w:r>
            <w:r w:rsidR="00552574" w:rsidRPr="005A242A">
              <w:rPr>
                <w:rStyle w:val="Hipervnculo"/>
                <w:rFonts w:ascii="Arial Narrow" w:hAnsi="Arial Narrow"/>
                <w:b/>
                <w:noProof/>
              </w:rPr>
              <w:t xml:space="preserve">Análisis del </w:t>
            </w:r>
            <w:r w:rsidR="009D7771" w:rsidRPr="005A242A">
              <w:rPr>
                <w:rStyle w:val="Hipervnculo"/>
                <w:rFonts w:ascii="Arial Narrow" w:hAnsi="Arial Narrow"/>
                <w:b/>
                <w:noProof/>
              </w:rPr>
              <w:t>Artículo</w:t>
            </w:r>
            <w:r w:rsidR="00552574" w:rsidRPr="005A242A">
              <w:rPr>
                <w:rStyle w:val="Hipervnculo"/>
                <w:rFonts w:ascii="Arial Narrow" w:hAnsi="Arial Narrow"/>
                <w:b/>
                <w:noProof/>
              </w:rPr>
              <w:t xml:space="preserve"> 121</w:t>
            </w:r>
            <w:r w:rsidR="00552574" w:rsidRPr="005A242A">
              <w:rPr>
                <w:rFonts w:ascii="Arial Narrow" w:hAnsi="Arial Narrow"/>
                <w:noProof/>
                <w:webHidden/>
              </w:rPr>
              <w:tab/>
            </w:r>
            <w:r w:rsidR="00552574" w:rsidRPr="005A242A">
              <w:rPr>
                <w:rFonts w:ascii="Arial Narrow" w:hAnsi="Arial Narrow"/>
                <w:noProof/>
                <w:webHidden/>
              </w:rPr>
              <w:fldChar w:fldCharType="begin"/>
            </w:r>
            <w:r w:rsidR="00552574" w:rsidRPr="005A242A">
              <w:rPr>
                <w:rFonts w:ascii="Arial Narrow" w:hAnsi="Arial Narrow"/>
                <w:noProof/>
                <w:webHidden/>
              </w:rPr>
              <w:instrText xml:space="preserve"> PAGEREF _Toc14293766 \h </w:instrText>
            </w:r>
            <w:r w:rsidR="00552574" w:rsidRPr="005A242A">
              <w:rPr>
                <w:rFonts w:ascii="Arial Narrow" w:hAnsi="Arial Narrow"/>
                <w:noProof/>
                <w:webHidden/>
              </w:rPr>
            </w:r>
            <w:r w:rsidR="00552574" w:rsidRPr="005A242A">
              <w:rPr>
                <w:rFonts w:ascii="Arial Narrow" w:hAnsi="Arial Narrow"/>
                <w:noProof/>
                <w:webHidden/>
              </w:rPr>
              <w:fldChar w:fldCharType="separate"/>
            </w:r>
            <w:r w:rsidR="00CE28A8">
              <w:rPr>
                <w:rFonts w:ascii="Arial Narrow" w:hAnsi="Arial Narrow"/>
                <w:noProof/>
                <w:webHidden/>
              </w:rPr>
              <w:t>84</w:t>
            </w:r>
            <w:r w:rsidR="00552574" w:rsidRPr="005A242A">
              <w:rPr>
                <w:rFonts w:ascii="Arial Narrow" w:hAnsi="Arial Narrow"/>
                <w:noProof/>
                <w:webHidden/>
              </w:rPr>
              <w:fldChar w:fldCharType="end"/>
            </w:r>
          </w:hyperlink>
        </w:p>
        <w:p w:rsidR="00552574" w:rsidRPr="005A242A" w:rsidRDefault="007C0694">
          <w:pPr>
            <w:pStyle w:val="TDC3"/>
            <w:tabs>
              <w:tab w:val="left" w:pos="1100"/>
              <w:tab w:val="right" w:leader="dot" w:pos="8828"/>
            </w:tabs>
            <w:rPr>
              <w:rFonts w:ascii="Arial Narrow" w:hAnsi="Arial Narrow" w:cstheme="minorBidi"/>
              <w:noProof/>
            </w:rPr>
          </w:pPr>
          <w:hyperlink w:anchor="_Toc14293767" w:history="1">
            <w:r w:rsidR="00552574" w:rsidRPr="005A242A">
              <w:rPr>
                <w:rStyle w:val="Hipervnculo"/>
                <w:rFonts w:ascii="Arial Narrow" w:hAnsi="Arial Narrow"/>
                <w:b/>
                <w:noProof/>
              </w:rPr>
              <w:t>4.3</w:t>
            </w:r>
            <w:r w:rsidR="00552574" w:rsidRPr="005A242A">
              <w:rPr>
                <w:rFonts w:ascii="Arial Narrow" w:hAnsi="Arial Narrow" w:cstheme="minorBidi"/>
                <w:noProof/>
              </w:rPr>
              <w:tab/>
            </w:r>
            <w:r w:rsidR="00552574" w:rsidRPr="005A242A">
              <w:rPr>
                <w:rStyle w:val="Hipervnculo"/>
                <w:rFonts w:ascii="Arial Narrow" w:hAnsi="Arial Narrow"/>
                <w:b/>
                <w:noProof/>
              </w:rPr>
              <w:t xml:space="preserve">Análisis del </w:t>
            </w:r>
            <w:r w:rsidR="009D7771" w:rsidRPr="005A242A">
              <w:rPr>
                <w:rStyle w:val="Hipervnculo"/>
                <w:rFonts w:ascii="Arial Narrow" w:hAnsi="Arial Narrow"/>
                <w:b/>
                <w:noProof/>
              </w:rPr>
              <w:t>Artículo</w:t>
            </w:r>
            <w:r w:rsidR="00552574" w:rsidRPr="005A242A">
              <w:rPr>
                <w:rStyle w:val="Hipervnculo"/>
                <w:rFonts w:ascii="Arial Narrow" w:hAnsi="Arial Narrow"/>
                <w:b/>
                <w:noProof/>
              </w:rPr>
              <w:t xml:space="preserve"> 126 y sus respectivas fracciones, respecto del Tribunal de lo Contencioso Administrativo de la Ciudad de México</w:t>
            </w:r>
            <w:r w:rsidR="00552574" w:rsidRPr="005A242A">
              <w:rPr>
                <w:rFonts w:ascii="Arial Narrow" w:hAnsi="Arial Narrow"/>
                <w:noProof/>
                <w:webHidden/>
              </w:rPr>
              <w:tab/>
            </w:r>
            <w:r w:rsidR="00552574" w:rsidRPr="005A242A">
              <w:rPr>
                <w:rFonts w:ascii="Arial Narrow" w:hAnsi="Arial Narrow"/>
                <w:noProof/>
                <w:webHidden/>
              </w:rPr>
              <w:fldChar w:fldCharType="begin"/>
            </w:r>
            <w:r w:rsidR="00552574" w:rsidRPr="005A242A">
              <w:rPr>
                <w:rFonts w:ascii="Arial Narrow" w:hAnsi="Arial Narrow"/>
                <w:noProof/>
                <w:webHidden/>
              </w:rPr>
              <w:instrText xml:space="preserve"> PAGEREF _Toc14293767 \h </w:instrText>
            </w:r>
            <w:r w:rsidR="00552574" w:rsidRPr="005A242A">
              <w:rPr>
                <w:rFonts w:ascii="Arial Narrow" w:hAnsi="Arial Narrow"/>
                <w:noProof/>
                <w:webHidden/>
              </w:rPr>
            </w:r>
            <w:r w:rsidR="00552574" w:rsidRPr="005A242A">
              <w:rPr>
                <w:rFonts w:ascii="Arial Narrow" w:hAnsi="Arial Narrow"/>
                <w:noProof/>
                <w:webHidden/>
              </w:rPr>
              <w:fldChar w:fldCharType="separate"/>
            </w:r>
            <w:r w:rsidR="00CE28A8">
              <w:rPr>
                <w:rFonts w:ascii="Arial Narrow" w:hAnsi="Arial Narrow"/>
                <w:noProof/>
                <w:webHidden/>
              </w:rPr>
              <w:t>86</w:t>
            </w:r>
            <w:r w:rsidR="00552574" w:rsidRPr="005A242A">
              <w:rPr>
                <w:rFonts w:ascii="Arial Narrow" w:hAnsi="Arial Narrow"/>
                <w:noProof/>
                <w:webHidden/>
              </w:rPr>
              <w:fldChar w:fldCharType="end"/>
            </w:r>
          </w:hyperlink>
        </w:p>
        <w:p w:rsidR="00552574" w:rsidRPr="005A242A" w:rsidRDefault="007C0694">
          <w:pPr>
            <w:pStyle w:val="TDC3"/>
            <w:tabs>
              <w:tab w:val="left" w:pos="1100"/>
              <w:tab w:val="right" w:leader="dot" w:pos="8828"/>
            </w:tabs>
            <w:rPr>
              <w:rFonts w:ascii="Arial Narrow" w:hAnsi="Arial Narrow" w:cstheme="minorBidi"/>
              <w:noProof/>
            </w:rPr>
          </w:pPr>
          <w:hyperlink w:anchor="_Toc14293768" w:history="1">
            <w:r w:rsidR="00552574" w:rsidRPr="005A242A">
              <w:rPr>
                <w:rStyle w:val="Hipervnculo"/>
                <w:rFonts w:ascii="Arial Narrow" w:hAnsi="Arial Narrow"/>
                <w:b/>
                <w:noProof/>
              </w:rPr>
              <w:t>4.4</w:t>
            </w:r>
            <w:r w:rsidR="00552574" w:rsidRPr="005A242A">
              <w:rPr>
                <w:rFonts w:ascii="Arial Narrow" w:hAnsi="Arial Narrow" w:cstheme="minorBidi"/>
                <w:noProof/>
              </w:rPr>
              <w:tab/>
            </w:r>
            <w:r w:rsidR="00552574" w:rsidRPr="005A242A">
              <w:rPr>
                <w:rStyle w:val="Hipervnculo"/>
                <w:rFonts w:ascii="Arial Narrow" w:hAnsi="Arial Narrow"/>
                <w:b/>
                <w:noProof/>
              </w:rPr>
              <w:t xml:space="preserve">Análisis del </w:t>
            </w:r>
            <w:r w:rsidR="009D7771" w:rsidRPr="005A242A">
              <w:rPr>
                <w:rStyle w:val="Hipervnculo"/>
                <w:rFonts w:ascii="Arial Narrow" w:hAnsi="Arial Narrow"/>
                <w:b/>
                <w:noProof/>
              </w:rPr>
              <w:t>Artículo</w:t>
            </w:r>
            <w:r w:rsidR="00552574" w:rsidRPr="005A242A">
              <w:rPr>
                <w:rStyle w:val="Hipervnculo"/>
                <w:rFonts w:ascii="Arial Narrow" w:hAnsi="Arial Narrow"/>
                <w:b/>
                <w:noProof/>
              </w:rPr>
              <w:t xml:space="preserve"> 128, respecto de las Autoridades Electorales</w:t>
            </w:r>
            <w:r w:rsidR="00552574" w:rsidRPr="005A242A">
              <w:rPr>
                <w:rFonts w:ascii="Arial Narrow" w:hAnsi="Arial Narrow"/>
                <w:noProof/>
                <w:webHidden/>
              </w:rPr>
              <w:tab/>
            </w:r>
            <w:r w:rsidR="00552574" w:rsidRPr="005A242A">
              <w:rPr>
                <w:rFonts w:ascii="Arial Narrow" w:hAnsi="Arial Narrow"/>
                <w:noProof/>
                <w:webHidden/>
              </w:rPr>
              <w:fldChar w:fldCharType="begin"/>
            </w:r>
            <w:r w:rsidR="00552574" w:rsidRPr="005A242A">
              <w:rPr>
                <w:rFonts w:ascii="Arial Narrow" w:hAnsi="Arial Narrow"/>
                <w:noProof/>
                <w:webHidden/>
              </w:rPr>
              <w:instrText xml:space="preserve"> PAGEREF _Toc14293768 \h </w:instrText>
            </w:r>
            <w:r w:rsidR="00552574" w:rsidRPr="005A242A">
              <w:rPr>
                <w:rFonts w:ascii="Arial Narrow" w:hAnsi="Arial Narrow"/>
                <w:noProof/>
                <w:webHidden/>
              </w:rPr>
            </w:r>
            <w:r w:rsidR="00552574" w:rsidRPr="005A242A">
              <w:rPr>
                <w:rFonts w:ascii="Arial Narrow" w:hAnsi="Arial Narrow"/>
                <w:noProof/>
                <w:webHidden/>
              </w:rPr>
              <w:fldChar w:fldCharType="separate"/>
            </w:r>
            <w:r w:rsidR="00CE28A8">
              <w:rPr>
                <w:rFonts w:ascii="Arial Narrow" w:hAnsi="Arial Narrow"/>
                <w:noProof/>
                <w:webHidden/>
              </w:rPr>
              <w:t>87</w:t>
            </w:r>
            <w:r w:rsidR="00552574" w:rsidRPr="005A242A">
              <w:rPr>
                <w:rFonts w:ascii="Arial Narrow" w:hAnsi="Arial Narrow"/>
                <w:noProof/>
                <w:webHidden/>
              </w:rPr>
              <w:fldChar w:fldCharType="end"/>
            </w:r>
          </w:hyperlink>
        </w:p>
        <w:p w:rsidR="00552574" w:rsidRPr="005A242A" w:rsidRDefault="007C0694">
          <w:pPr>
            <w:pStyle w:val="TDC3"/>
            <w:tabs>
              <w:tab w:val="left" w:pos="1100"/>
              <w:tab w:val="right" w:leader="dot" w:pos="8828"/>
            </w:tabs>
            <w:rPr>
              <w:rFonts w:ascii="Arial Narrow" w:hAnsi="Arial Narrow" w:cstheme="minorBidi"/>
              <w:noProof/>
            </w:rPr>
          </w:pPr>
          <w:hyperlink w:anchor="_Toc14293769" w:history="1">
            <w:r w:rsidR="00552574" w:rsidRPr="005A242A">
              <w:rPr>
                <w:rStyle w:val="Hipervnculo"/>
                <w:rFonts w:ascii="Arial Narrow" w:hAnsi="Arial Narrow"/>
                <w:b/>
                <w:noProof/>
              </w:rPr>
              <w:t>4.5</w:t>
            </w:r>
            <w:r w:rsidR="00552574" w:rsidRPr="005A242A">
              <w:rPr>
                <w:rFonts w:ascii="Arial Narrow" w:hAnsi="Arial Narrow" w:cstheme="minorBidi"/>
                <w:noProof/>
              </w:rPr>
              <w:tab/>
            </w:r>
            <w:r w:rsidR="00552574" w:rsidRPr="005A242A">
              <w:rPr>
                <w:rStyle w:val="Hipervnculo"/>
                <w:rFonts w:ascii="Arial Narrow" w:hAnsi="Arial Narrow"/>
                <w:b/>
                <w:noProof/>
              </w:rPr>
              <w:t xml:space="preserve">Análisis del </w:t>
            </w:r>
            <w:r w:rsidR="009D7771" w:rsidRPr="005A242A">
              <w:rPr>
                <w:rStyle w:val="Hipervnculo"/>
                <w:rFonts w:ascii="Arial Narrow" w:hAnsi="Arial Narrow"/>
                <w:b/>
                <w:noProof/>
              </w:rPr>
              <w:t>Artículo</w:t>
            </w:r>
            <w:r w:rsidR="00552574" w:rsidRPr="005A242A">
              <w:rPr>
                <w:rStyle w:val="Hipervnculo"/>
                <w:rFonts w:ascii="Arial Narrow" w:hAnsi="Arial Narrow"/>
                <w:b/>
                <w:noProof/>
              </w:rPr>
              <w:t xml:space="preserve"> 132, y sus respectivas fracciones, sobre la Comisión de Derechos Humanos</w:t>
            </w:r>
            <w:r w:rsidR="00552574" w:rsidRPr="005A242A">
              <w:rPr>
                <w:rFonts w:ascii="Arial Narrow" w:hAnsi="Arial Narrow"/>
                <w:noProof/>
                <w:webHidden/>
              </w:rPr>
              <w:tab/>
            </w:r>
            <w:r w:rsidR="00552574" w:rsidRPr="005A242A">
              <w:rPr>
                <w:rFonts w:ascii="Arial Narrow" w:hAnsi="Arial Narrow"/>
                <w:noProof/>
                <w:webHidden/>
              </w:rPr>
              <w:fldChar w:fldCharType="begin"/>
            </w:r>
            <w:r w:rsidR="00552574" w:rsidRPr="005A242A">
              <w:rPr>
                <w:rFonts w:ascii="Arial Narrow" w:hAnsi="Arial Narrow"/>
                <w:noProof/>
                <w:webHidden/>
              </w:rPr>
              <w:instrText xml:space="preserve"> PAGEREF _Toc14293769 \h </w:instrText>
            </w:r>
            <w:r w:rsidR="00552574" w:rsidRPr="005A242A">
              <w:rPr>
                <w:rFonts w:ascii="Arial Narrow" w:hAnsi="Arial Narrow"/>
                <w:noProof/>
                <w:webHidden/>
              </w:rPr>
            </w:r>
            <w:r w:rsidR="00552574" w:rsidRPr="005A242A">
              <w:rPr>
                <w:rFonts w:ascii="Arial Narrow" w:hAnsi="Arial Narrow"/>
                <w:noProof/>
                <w:webHidden/>
              </w:rPr>
              <w:fldChar w:fldCharType="separate"/>
            </w:r>
            <w:r w:rsidR="00CE28A8">
              <w:rPr>
                <w:rFonts w:ascii="Arial Narrow" w:hAnsi="Arial Narrow"/>
                <w:noProof/>
                <w:webHidden/>
              </w:rPr>
              <w:t>87</w:t>
            </w:r>
            <w:r w:rsidR="00552574" w:rsidRPr="005A242A">
              <w:rPr>
                <w:rFonts w:ascii="Arial Narrow" w:hAnsi="Arial Narrow"/>
                <w:noProof/>
                <w:webHidden/>
              </w:rPr>
              <w:fldChar w:fldCharType="end"/>
            </w:r>
          </w:hyperlink>
        </w:p>
        <w:p w:rsidR="00552574" w:rsidRPr="005A242A" w:rsidRDefault="007C0694">
          <w:pPr>
            <w:pStyle w:val="TDC3"/>
            <w:tabs>
              <w:tab w:val="left" w:pos="1100"/>
              <w:tab w:val="right" w:leader="dot" w:pos="8828"/>
            </w:tabs>
            <w:rPr>
              <w:rFonts w:ascii="Arial Narrow" w:hAnsi="Arial Narrow" w:cstheme="minorBidi"/>
              <w:noProof/>
            </w:rPr>
          </w:pPr>
          <w:hyperlink w:anchor="_Toc14293770" w:history="1">
            <w:r w:rsidR="00552574" w:rsidRPr="005A242A">
              <w:rPr>
                <w:rStyle w:val="Hipervnculo"/>
                <w:rFonts w:ascii="Arial Narrow" w:hAnsi="Arial Narrow"/>
                <w:b/>
                <w:noProof/>
              </w:rPr>
              <w:t>4.6</w:t>
            </w:r>
            <w:r w:rsidR="00552574" w:rsidRPr="005A242A">
              <w:rPr>
                <w:rFonts w:ascii="Arial Narrow" w:hAnsi="Arial Narrow" w:cstheme="minorBidi"/>
                <w:noProof/>
              </w:rPr>
              <w:tab/>
            </w:r>
            <w:r w:rsidR="00552574" w:rsidRPr="005A242A">
              <w:rPr>
                <w:rStyle w:val="Hipervnculo"/>
                <w:rFonts w:ascii="Arial Narrow" w:hAnsi="Arial Narrow"/>
                <w:b/>
                <w:noProof/>
              </w:rPr>
              <w:t xml:space="preserve">Análisis del </w:t>
            </w:r>
            <w:r w:rsidR="009D7771" w:rsidRPr="005A242A">
              <w:rPr>
                <w:rStyle w:val="Hipervnculo"/>
                <w:rFonts w:ascii="Arial Narrow" w:hAnsi="Arial Narrow"/>
                <w:b/>
                <w:noProof/>
              </w:rPr>
              <w:t>Artículo</w:t>
            </w:r>
            <w:r w:rsidR="00552574" w:rsidRPr="005A242A">
              <w:rPr>
                <w:rStyle w:val="Hipervnculo"/>
                <w:rFonts w:ascii="Arial Narrow" w:hAnsi="Arial Narrow"/>
                <w:b/>
                <w:noProof/>
              </w:rPr>
              <w:t xml:space="preserve"> 133 y sus respectivas fracciones, sobre el Instituto de Transparencia, Acceso a la Información Pública, Protección de Datos Personales y Rendición de Cuentas de la Ciudad de México</w:t>
            </w:r>
            <w:r w:rsidR="00552574" w:rsidRPr="005A242A">
              <w:rPr>
                <w:rFonts w:ascii="Arial Narrow" w:hAnsi="Arial Narrow"/>
                <w:noProof/>
                <w:webHidden/>
              </w:rPr>
              <w:tab/>
            </w:r>
            <w:r w:rsidR="00552574" w:rsidRPr="005A242A">
              <w:rPr>
                <w:rFonts w:ascii="Arial Narrow" w:hAnsi="Arial Narrow"/>
                <w:noProof/>
                <w:webHidden/>
              </w:rPr>
              <w:fldChar w:fldCharType="begin"/>
            </w:r>
            <w:r w:rsidR="00552574" w:rsidRPr="005A242A">
              <w:rPr>
                <w:rFonts w:ascii="Arial Narrow" w:hAnsi="Arial Narrow"/>
                <w:noProof/>
                <w:webHidden/>
              </w:rPr>
              <w:instrText xml:space="preserve"> PAGEREF _Toc14293770 \h </w:instrText>
            </w:r>
            <w:r w:rsidR="00552574" w:rsidRPr="005A242A">
              <w:rPr>
                <w:rFonts w:ascii="Arial Narrow" w:hAnsi="Arial Narrow"/>
                <w:noProof/>
                <w:webHidden/>
              </w:rPr>
            </w:r>
            <w:r w:rsidR="00552574" w:rsidRPr="005A242A">
              <w:rPr>
                <w:rFonts w:ascii="Arial Narrow" w:hAnsi="Arial Narrow"/>
                <w:noProof/>
                <w:webHidden/>
              </w:rPr>
              <w:fldChar w:fldCharType="separate"/>
            </w:r>
            <w:r w:rsidR="00CE28A8">
              <w:rPr>
                <w:rFonts w:ascii="Arial Narrow" w:hAnsi="Arial Narrow"/>
                <w:noProof/>
                <w:webHidden/>
              </w:rPr>
              <w:t>89</w:t>
            </w:r>
            <w:r w:rsidR="00552574" w:rsidRPr="005A242A">
              <w:rPr>
                <w:rFonts w:ascii="Arial Narrow" w:hAnsi="Arial Narrow"/>
                <w:noProof/>
                <w:webHidden/>
              </w:rPr>
              <w:fldChar w:fldCharType="end"/>
            </w:r>
          </w:hyperlink>
        </w:p>
        <w:p w:rsidR="00552574" w:rsidRPr="005A242A" w:rsidRDefault="007C0694">
          <w:pPr>
            <w:pStyle w:val="TDC3"/>
            <w:tabs>
              <w:tab w:val="left" w:pos="1100"/>
              <w:tab w:val="right" w:leader="dot" w:pos="8828"/>
            </w:tabs>
            <w:rPr>
              <w:rFonts w:ascii="Arial Narrow" w:hAnsi="Arial Narrow" w:cstheme="minorBidi"/>
              <w:noProof/>
            </w:rPr>
          </w:pPr>
          <w:hyperlink w:anchor="_Toc14293771" w:history="1">
            <w:r w:rsidR="00552574" w:rsidRPr="005A242A">
              <w:rPr>
                <w:rStyle w:val="Hipervnculo"/>
                <w:rFonts w:ascii="Arial Narrow" w:hAnsi="Arial Narrow"/>
                <w:b/>
                <w:noProof/>
              </w:rPr>
              <w:t>4.7</w:t>
            </w:r>
            <w:r w:rsidR="00552574" w:rsidRPr="005A242A">
              <w:rPr>
                <w:rFonts w:ascii="Arial Narrow" w:hAnsi="Arial Narrow" w:cstheme="minorBidi"/>
                <w:noProof/>
              </w:rPr>
              <w:tab/>
            </w:r>
            <w:r w:rsidR="00552574" w:rsidRPr="005A242A">
              <w:rPr>
                <w:rStyle w:val="Hipervnculo"/>
                <w:rFonts w:ascii="Arial Narrow" w:hAnsi="Arial Narrow"/>
                <w:b/>
                <w:noProof/>
              </w:rPr>
              <w:t xml:space="preserve">Análisis del </w:t>
            </w:r>
            <w:r w:rsidR="009D7771" w:rsidRPr="005A242A">
              <w:rPr>
                <w:rStyle w:val="Hipervnculo"/>
                <w:rFonts w:ascii="Arial Narrow" w:hAnsi="Arial Narrow"/>
                <w:b/>
                <w:noProof/>
              </w:rPr>
              <w:t>Artículo</w:t>
            </w:r>
            <w:r w:rsidR="00552574" w:rsidRPr="005A242A">
              <w:rPr>
                <w:rStyle w:val="Hipervnculo"/>
                <w:rFonts w:ascii="Arial Narrow" w:hAnsi="Arial Narrow"/>
                <w:b/>
                <w:noProof/>
              </w:rPr>
              <w:t xml:space="preserve"> 134 y sus respectivas fracciones, sobre la Universidad Autónoma de la Ciudad de México (UACM)</w:t>
            </w:r>
            <w:r w:rsidR="00552574" w:rsidRPr="005A242A">
              <w:rPr>
                <w:rFonts w:ascii="Arial Narrow" w:hAnsi="Arial Narrow"/>
                <w:noProof/>
                <w:webHidden/>
              </w:rPr>
              <w:tab/>
            </w:r>
            <w:r w:rsidR="00552574" w:rsidRPr="005A242A">
              <w:rPr>
                <w:rFonts w:ascii="Arial Narrow" w:hAnsi="Arial Narrow"/>
                <w:noProof/>
                <w:webHidden/>
              </w:rPr>
              <w:fldChar w:fldCharType="begin"/>
            </w:r>
            <w:r w:rsidR="00552574" w:rsidRPr="005A242A">
              <w:rPr>
                <w:rFonts w:ascii="Arial Narrow" w:hAnsi="Arial Narrow"/>
                <w:noProof/>
                <w:webHidden/>
              </w:rPr>
              <w:instrText xml:space="preserve"> PAGEREF _Toc14293771 \h </w:instrText>
            </w:r>
            <w:r w:rsidR="00552574" w:rsidRPr="005A242A">
              <w:rPr>
                <w:rFonts w:ascii="Arial Narrow" w:hAnsi="Arial Narrow"/>
                <w:noProof/>
                <w:webHidden/>
              </w:rPr>
            </w:r>
            <w:r w:rsidR="00552574" w:rsidRPr="005A242A">
              <w:rPr>
                <w:rFonts w:ascii="Arial Narrow" w:hAnsi="Arial Narrow"/>
                <w:noProof/>
                <w:webHidden/>
              </w:rPr>
              <w:fldChar w:fldCharType="separate"/>
            </w:r>
            <w:r w:rsidR="00CE28A8">
              <w:rPr>
                <w:rFonts w:ascii="Arial Narrow" w:hAnsi="Arial Narrow"/>
                <w:noProof/>
                <w:webHidden/>
              </w:rPr>
              <w:t>90</w:t>
            </w:r>
            <w:r w:rsidR="00552574" w:rsidRPr="005A242A">
              <w:rPr>
                <w:rFonts w:ascii="Arial Narrow" w:hAnsi="Arial Narrow"/>
                <w:noProof/>
                <w:webHidden/>
              </w:rPr>
              <w:fldChar w:fldCharType="end"/>
            </w:r>
          </w:hyperlink>
        </w:p>
        <w:p w:rsidR="00552574" w:rsidRPr="005A242A" w:rsidRDefault="007C0694">
          <w:pPr>
            <w:pStyle w:val="TDC3"/>
            <w:tabs>
              <w:tab w:val="left" w:pos="1100"/>
              <w:tab w:val="right" w:leader="dot" w:pos="8828"/>
            </w:tabs>
            <w:rPr>
              <w:rFonts w:ascii="Arial Narrow" w:hAnsi="Arial Narrow" w:cstheme="minorBidi"/>
              <w:noProof/>
            </w:rPr>
          </w:pPr>
          <w:hyperlink w:anchor="_Toc14293772" w:history="1">
            <w:r w:rsidR="00552574" w:rsidRPr="005A242A">
              <w:rPr>
                <w:rStyle w:val="Hipervnculo"/>
                <w:rFonts w:ascii="Arial Narrow" w:hAnsi="Arial Narrow"/>
                <w:b/>
                <w:noProof/>
              </w:rPr>
              <w:t>4.8</w:t>
            </w:r>
            <w:r w:rsidR="00552574" w:rsidRPr="005A242A">
              <w:rPr>
                <w:rFonts w:ascii="Arial Narrow" w:hAnsi="Arial Narrow" w:cstheme="minorBidi"/>
                <w:noProof/>
              </w:rPr>
              <w:tab/>
            </w:r>
            <w:r w:rsidR="00552574" w:rsidRPr="005A242A">
              <w:rPr>
                <w:rStyle w:val="Hipervnculo"/>
                <w:rFonts w:ascii="Arial Narrow" w:hAnsi="Arial Narrow"/>
                <w:b/>
                <w:noProof/>
              </w:rPr>
              <w:t xml:space="preserve">Análisis del </w:t>
            </w:r>
            <w:r w:rsidR="009D7771" w:rsidRPr="005A242A">
              <w:rPr>
                <w:rStyle w:val="Hipervnculo"/>
                <w:rFonts w:ascii="Arial Narrow" w:hAnsi="Arial Narrow"/>
                <w:b/>
                <w:noProof/>
              </w:rPr>
              <w:t>Artículo</w:t>
            </w:r>
            <w:r w:rsidR="00552574" w:rsidRPr="005A242A">
              <w:rPr>
                <w:rStyle w:val="Hipervnculo"/>
                <w:rFonts w:ascii="Arial Narrow" w:hAnsi="Arial Narrow"/>
                <w:b/>
                <w:noProof/>
              </w:rPr>
              <w:t xml:space="preserve"> 137 y sus respectivas fracciones, sobre la Junta Local de Conciliación y Arbitraje</w:t>
            </w:r>
            <w:r w:rsidR="00552574" w:rsidRPr="005A242A">
              <w:rPr>
                <w:rFonts w:ascii="Arial Narrow" w:hAnsi="Arial Narrow"/>
                <w:noProof/>
                <w:webHidden/>
              </w:rPr>
              <w:tab/>
            </w:r>
            <w:r w:rsidR="00552574" w:rsidRPr="005A242A">
              <w:rPr>
                <w:rFonts w:ascii="Arial Narrow" w:hAnsi="Arial Narrow"/>
                <w:noProof/>
                <w:webHidden/>
              </w:rPr>
              <w:fldChar w:fldCharType="begin"/>
            </w:r>
            <w:r w:rsidR="00552574" w:rsidRPr="005A242A">
              <w:rPr>
                <w:rFonts w:ascii="Arial Narrow" w:hAnsi="Arial Narrow"/>
                <w:noProof/>
                <w:webHidden/>
              </w:rPr>
              <w:instrText xml:space="preserve"> PAGEREF _Toc14293772 \h </w:instrText>
            </w:r>
            <w:r w:rsidR="00552574" w:rsidRPr="005A242A">
              <w:rPr>
                <w:rFonts w:ascii="Arial Narrow" w:hAnsi="Arial Narrow"/>
                <w:noProof/>
                <w:webHidden/>
              </w:rPr>
            </w:r>
            <w:r w:rsidR="00552574" w:rsidRPr="005A242A">
              <w:rPr>
                <w:rFonts w:ascii="Arial Narrow" w:hAnsi="Arial Narrow"/>
                <w:noProof/>
                <w:webHidden/>
              </w:rPr>
              <w:fldChar w:fldCharType="separate"/>
            </w:r>
            <w:r w:rsidR="00CE28A8">
              <w:rPr>
                <w:rFonts w:ascii="Arial Narrow" w:hAnsi="Arial Narrow"/>
                <w:noProof/>
                <w:webHidden/>
              </w:rPr>
              <w:t>93</w:t>
            </w:r>
            <w:r w:rsidR="00552574" w:rsidRPr="005A242A">
              <w:rPr>
                <w:rFonts w:ascii="Arial Narrow" w:hAnsi="Arial Narrow"/>
                <w:noProof/>
                <w:webHidden/>
              </w:rPr>
              <w:fldChar w:fldCharType="end"/>
            </w:r>
          </w:hyperlink>
        </w:p>
        <w:p w:rsidR="00552574" w:rsidRPr="005A242A" w:rsidRDefault="007C0694">
          <w:pPr>
            <w:pStyle w:val="TDC3"/>
            <w:tabs>
              <w:tab w:val="left" w:pos="1100"/>
              <w:tab w:val="right" w:leader="dot" w:pos="8828"/>
            </w:tabs>
            <w:rPr>
              <w:rFonts w:ascii="Arial Narrow" w:hAnsi="Arial Narrow" w:cstheme="minorBidi"/>
              <w:noProof/>
            </w:rPr>
          </w:pPr>
          <w:hyperlink w:anchor="_Toc14293773" w:history="1">
            <w:r w:rsidR="00552574" w:rsidRPr="005A242A">
              <w:rPr>
                <w:rStyle w:val="Hipervnculo"/>
                <w:rFonts w:ascii="Arial Narrow" w:hAnsi="Arial Narrow"/>
                <w:b/>
                <w:noProof/>
              </w:rPr>
              <w:t>4.9</w:t>
            </w:r>
            <w:r w:rsidR="00552574" w:rsidRPr="005A242A">
              <w:rPr>
                <w:rFonts w:ascii="Arial Narrow" w:hAnsi="Arial Narrow" w:cstheme="minorBidi"/>
                <w:noProof/>
              </w:rPr>
              <w:tab/>
            </w:r>
            <w:r w:rsidR="00552574" w:rsidRPr="005A242A">
              <w:rPr>
                <w:rStyle w:val="Hipervnculo"/>
                <w:rFonts w:ascii="Arial Narrow" w:hAnsi="Arial Narrow"/>
                <w:b/>
                <w:noProof/>
              </w:rPr>
              <w:t xml:space="preserve">Análisis del </w:t>
            </w:r>
            <w:r w:rsidR="009D7771" w:rsidRPr="005A242A">
              <w:rPr>
                <w:rStyle w:val="Hipervnculo"/>
                <w:rFonts w:ascii="Arial Narrow" w:hAnsi="Arial Narrow"/>
                <w:b/>
                <w:noProof/>
              </w:rPr>
              <w:t>Artículo</w:t>
            </w:r>
            <w:r w:rsidR="00552574" w:rsidRPr="005A242A">
              <w:rPr>
                <w:rStyle w:val="Hipervnculo"/>
                <w:rFonts w:ascii="Arial Narrow" w:hAnsi="Arial Narrow"/>
                <w:b/>
                <w:noProof/>
              </w:rPr>
              <w:t xml:space="preserve"> 143</w:t>
            </w:r>
            <w:r w:rsidR="00552574" w:rsidRPr="005A242A">
              <w:rPr>
                <w:rFonts w:ascii="Arial Narrow" w:hAnsi="Arial Narrow"/>
                <w:noProof/>
                <w:webHidden/>
              </w:rPr>
              <w:tab/>
            </w:r>
            <w:r w:rsidR="00552574" w:rsidRPr="005A242A">
              <w:rPr>
                <w:rFonts w:ascii="Arial Narrow" w:hAnsi="Arial Narrow"/>
                <w:noProof/>
                <w:webHidden/>
              </w:rPr>
              <w:fldChar w:fldCharType="begin"/>
            </w:r>
            <w:r w:rsidR="00552574" w:rsidRPr="005A242A">
              <w:rPr>
                <w:rFonts w:ascii="Arial Narrow" w:hAnsi="Arial Narrow"/>
                <w:noProof/>
                <w:webHidden/>
              </w:rPr>
              <w:instrText xml:space="preserve"> PAGEREF _Toc14293773 \h </w:instrText>
            </w:r>
            <w:r w:rsidR="00552574" w:rsidRPr="005A242A">
              <w:rPr>
                <w:rFonts w:ascii="Arial Narrow" w:hAnsi="Arial Narrow"/>
                <w:noProof/>
                <w:webHidden/>
              </w:rPr>
            </w:r>
            <w:r w:rsidR="00552574" w:rsidRPr="005A242A">
              <w:rPr>
                <w:rFonts w:ascii="Arial Narrow" w:hAnsi="Arial Narrow"/>
                <w:noProof/>
                <w:webHidden/>
              </w:rPr>
              <w:fldChar w:fldCharType="separate"/>
            </w:r>
            <w:r w:rsidR="00CE28A8">
              <w:rPr>
                <w:rFonts w:ascii="Arial Narrow" w:hAnsi="Arial Narrow"/>
                <w:noProof/>
                <w:webHidden/>
              </w:rPr>
              <w:t>93</w:t>
            </w:r>
            <w:r w:rsidR="00552574" w:rsidRPr="005A242A">
              <w:rPr>
                <w:rFonts w:ascii="Arial Narrow" w:hAnsi="Arial Narrow"/>
                <w:noProof/>
                <w:webHidden/>
              </w:rPr>
              <w:fldChar w:fldCharType="end"/>
            </w:r>
          </w:hyperlink>
        </w:p>
        <w:p w:rsidR="00552574" w:rsidRPr="005A242A" w:rsidRDefault="007C0694">
          <w:pPr>
            <w:pStyle w:val="TDC3"/>
            <w:tabs>
              <w:tab w:val="left" w:pos="1100"/>
              <w:tab w:val="right" w:leader="dot" w:pos="8828"/>
            </w:tabs>
            <w:rPr>
              <w:rFonts w:ascii="Arial Narrow" w:hAnsi="Arial Narrow" w:cstheme="minorBidi"/>
              <w:noProof/>
            </w:rPr>
          </w:pPr>
          <w:hyperlink w:anchor="_Toc14293774" w:history="1">
            <w:r w:rsidR="00552574" w:rsidRPr="005A242A">
              <w:rPr>
                <w:rStyle w:val="Hipervnculo"/>
                <w:rFonts w:ascii="Arial Narrow" w:hAnsi="Arial Narrow"/>
                <w:b/>
                <w:noProof/>
              </w:rPr>
              <w:t>4.10</w:t>
            </w:r>
            <w:r w:rsidR="00552574" w:rsidRPr="005A242A">
              <w:rPr>
                <w:rFonts w:ascii="Arial Narrow" w:hAnsi="Arial Narrow" w:cstheme="minorBidi"/>
                <w:noProof/>
              </w:rPr>
              <w:tab/>
            </w:r>
            <w:r w:rsidR="00552574" w:rsidRPr="005A242A">
              <w:rPr>
                <w:rStyle w:val="Hipervnculo"/>
                <w:rFonts w:ascii="Arial Narrow" w:hAnsi="Arial Narrow"/>
                <w:b/>
                <w:noProof/>
              </w:rPr>
              <w:t xml:space="preserve">Análisis del </w:t>
            </w:r>
            <w:r w:rsidR="009D7771" w:rsidRPr="005A242A">
              <w:rPr>
                <w:rStyle w:val="Hipervnculo"/>
                <w:rFonts w:ascii="Arial Narrow" w:hAnsi="Arial Narrow"/>
                <w:b/>
                <w:noProof/>
              </w:rPr>
              <w:t>Artículo</w:t>
            </w:r>
            <w:r w:rsidR="00552574" w:rsidRPr="005A242A">
              <w:rPr>
                <w:rStyle w:val="Hipervnculo"/>
                <w:rFonts w:ascii="Arial Narrow" w:hAnsi="Arial Narrow"/>
                <w:b/>
                <w:noProof/>
              </w:rPr>
              <w:t xml:space="preserve"> 145</w:t>
            </w:r>
            <w:r w:rsidR="00552574" w:rsidRPr="005A242A">
              <w:rPr>
                <w:rFonts w:ascii="Arial Narrow" w:hAnsi="Arial Narrow"/>
                <w:noProof/>
                <w:webHidden/>
              </w:rPr>
              <w:tab/>
            </w:r>
            <w:r w:rsidR="00552574" w:rsidRPr="005A242A">
              <w:rPr>
                <w:rFonts w:ascii="Arial Narrow" w:hAnsi="Arial Narrow"/>
                <w:noProof/>
                <w:webHidden/>
              </w:rPr>
              <w:fldChar w:fldCharType="begin"/>
            </w:r>
            <w:r w:rsidR="00552574" w:rsidRPr="005A242A">
              <w:rPr>
                <w:rFonts w:ascii="Arial Narrow" w:hAnsi="Arial Narrow"/>
                <w:noProof/>
                <w:webHidden/>
              </w:rPr>
              <w:instrText xml:space="preserve"> PAGEREF _Toc14293774 \h </w:instrText>
            </w:r>
            <w:r w:rsidR="00552574" w:rsidRPr="005A242A">
              <w:rPr>
                <w:rFonts w:ascii="Arial Narrow" w:hAnsi="Arial Narrow"/>
                <w:noProof/>
                <w:webHidden/>
              </w:rPr>
            </w:r>
            <w:r w:rsidR="00552574" w:rsidRPr="005A242A">
              <w:rPr>
                <w:rFonts w:ascii="Arial Narrow" w:hAnsi="Arial Narrow"/>
                <w:noProof/>
                <w:webHidden/>
              </w:rPr>
              <w:fldChar w:fldCharType="separate"/>
            </w:r>
            <w:r w:rsidR="00CE28A8">
              <w:rPr>
                <w:rFonts w:ascii="Arial Narrow" w:hAnsi="Arial Narrow"/>
                <w:noProof/>
                <w:webHidden/>
              </w:rPr>
              <w:t>93</w:t>
            </w:r>
            <w:r w:rsidR="00552574" w:rsidRPr="005A242A">
              <w:rPr>
                <w:rFonts w:ascii="Arial Narrow" w:hAnsi="Arial Narrow"/>
                <w:noProof/>
                <w:webHidden/>
              </w:rPr>
              <w:fldChar w:fldCharType="end"/>
            </w:r>
          </w:hyperlink>
        </w:p>
        <w:p w:rsidR="00552574" w:rsidRPr="005A242A" w:rsidRDefault="007C0694">
          <w:pPr>
            <w:pStyle w:val="TDC3"/>
            <w:tabs>
              <w:tab w:val="left" w:pos="1100"/>
              <w:tab w:val="right" w:leader="dot" w:pos="8828"/>
            </w:tabs>
            <w:rPr>
              <w:rFonts w:ascii="Arial Narrow" w:hAnsi="Arial Narrow" w:cstheme="minorBidi"/>
              <w:noProof/>
            </w:rPr>
          </w:pPr>
          <w:hyperlink w:anchor="_Toc14293775" w:history="1">
            <w:r w:rsidR="00552574" w:rsidRPr="005A242A">
              <w:rPr>
                <w:rStyle w:val="Hipervnculo"/>
                <w:rFonts w:ascii="Arial Narrow" w:hAnsi="Arial Narrow"/>
                <w:b/>
                <w:noProof/>
              </w:rPr>
              <w:t>4.11</w:t>
            </w:r>
            <w:r w:rsidR="00552574" w:rsidRPr="005A242A">
              <w:rPr>
                <w:rFonts w:ascii="Arial Narrow" w:hAnsi="Arial Narrow" w:cstheme="minorBidi"/>
                <w:noProof/>
              </w:rPr>
              <w:tab/>
            </w:r>
            <w:r w:rsidR="00552574" w:rsidRPr="005A242A">
              <w:rPr>
                <w:rStyle w:val="Hipervnculo"/>
                <w:rFonts w:ascii="Arial Narrow" w:hAnsi="Arial Narrow"/>
                <w:b/>
                <w:noProof/>
              </w:rPr>
              <w:t xml:space="preserve">Análisis del </w:t>
            </w:r>
            <w:r w:rsidR="009D7771" w:rsidRPr="005A242A">
              <w:rPr>
                <w:rStyle w:val="Hipervnculo"/>
                <w:rFonts w:ascii="Arial Narrow" w:hAnsi="Arial Narrow"/>
                <w:b/>
                <w:noProof/>
              </w:rPr>
              <w:t>Artículo</w:t>
            </w:r>
            <w:r w:rsidR="00552574" w:rsidRPr="005A242A">
              <w:rPr>
                <w:rStyle w:val="Hipervnculo"/>
                <w:rFonts w:ascii="Arial Narrow" w:hAnsi="Arial Narrow"/>
                <w:b/>
                <w:noProof/>
              </w:rPr>
              <w:t xml:space="preserve"> 146</w:t>
            </w:r>
            <w:r w:rsidR="00552574" w:rsidRPr="005A242A">
              <w:rPr>
                <w:rFonts w:ascii="Arial Narrow" w:hAnsi="Arial Narrow"/>
                <w:noProof/>
                <w:webHidden/>
              </w:rPr>
              <w:tab/>
            </w:r>
            <w:r w:rsidR="00552574" w:rsidRPr="005A242A">
              <w:rPr>
                <w:rFonts w:ascii="Arial Narrow" w:hAnsi="Arial Narrow"/>
                <w:noProof/>
                <w:webHidden/>
              </w:rPr>
              <w:fldChar w:fldCharType="begin"/>
            </w:r>
            <w:r w:rsidR="00552574" w:rsidRPr="005A242A">
              <w:rPr>
                <w:rFonts w:ascii="Arial Narrow" w:hAnsi="Arial Narrow"/>
                <w:noProof/>
                <w:webHidden/>
              </w:rPr>
              <w:instrText xml:space="preserve"> PAGEREF _Toc14293775 \h </w:instrText>
            </w:r>
            <w:r w:rsidR="00552574" w:rsidRPr="005A242A">
              <w:rPr>
                <w:rFonts w:ascii="Arial Narrow" w:hAnsi="Arial Narrow"/>
                <w:noProof/>
                <w:webHidden/>
              </w:rPr>
            </w:r>
            <w:r w:rsidR="00552574" w:rsidRPr="005A242A">
              <w:rPr>
                <w:rFonts w:ascii="Arial Narrow" w:hAnsi="Arial Narrow"/>
                <w:noProof/>
                <w:webHidden/>
              </w:rPr>
              <w:fldChar w:fldCharType="separate"/>
            </w:r>
            <w:r w:rsidR="00CE28A8">
              <w:rPr>
                <w:rFonts w:ascii="Arial Narrow" w:hAnsi="Arial Narrow"/>
                <w:noProof/>
                <w:webHidden/>
              </w:rPr>
              <w:t>94</w:t>
            </w:r>
            <w:r w:rsidR="00552574" w:rsidRPr="005A242A">
              <w:rPr>
                <w:rFonts w:ascii="Arial Narrow" w:hAnsi="Arial Narrow"/>
                <w:noProof/>
                <w:webHidden/>
              </w:rPr>
              <w:fldChar w:fldCharType="end"/>
            </w:r>
          </w:hyperlink>
        </w:p>
        <w:p w:rsidR="00552574" w:rsidRPr="005A242A" w:rsidRDefault="007C0694">
          <w:pPr>
            <w:pStyle w:val="TDC1"/>
            <w:tabs>
              <w:tab w:val="left" w:pos="440"/>
              <w:tab w:val="right" w:leader="dot" w:pos="8828"/>
            </w:tabs>
            <w:rPr>
              <w:rFonts w:ascii="Arial Narrow" w:hAnsi="Arial Narrow" w:cstheme="minorBidi"/>
              <w:noProof/>
            </w:rPr>
          </w:pPr>
          <w:hyperlink w:anchor="_Toc14293776" w:history="1">
            <w:r w:rsidR="00552574" w:rsidRPr="005A242A">
              <w:rPr>
                <w:rStyle w:val="Hipervnculo"/>
                <w:rFonts w:ascii="Arial Narrow" w:hAnsi="Arial Narrow"/>
                <w:b/>
                <w:noProof/>
              </w:rPr>
              <w:t>5.</w:t>
            </w:r>
            <w:r w:rsidR="00552574" w:rsidRPr="005A242A">
              <w:rPr>
                <w:rFonts w:ascii="Arial Narrow" w:hAnsi="Arial Narrow" w:cstheme="minorBidi"/>
                <w:noProof/>
              </w:rPr>
              <w:tab/>
            </w:r>
            <w:r w:rsidR="00552574" w:rsidRPr="005A242A">
              <w:rPr>
                <w:rStyle w:val="Hipervnculo"/>
                <w:rFonts w:ascii="Arial Narrow" w:hAnsi="Arial Narrow"/>
                <w:b/>
                <w:noProof/>
              </w:rPr>
              <w:t>PARTIDOS POLÍTICOS</w:t>
            </w:r>
            <w:r w:rsidR="00552574" w:rsidRPr="005A242A">
              <w:rPr>
                <w:rFonts w:ascii="Arial Narrow" w:hAnsi="Arial Narrow"/>
                <w:noProof/>
                <w:webHidden/>
              </w:rPr>
              <w:tab/>
            </w:r>
            <w:r w:rsidR="00552574" w:rsidRPr="005A242A">
              <w:rPr>
                <w:rFonts w:ascii="Arial Narrow" w:hAnsi="Arial Narrow"/>
                <w:noProof/>
                <w:webHidden/>
              </w:rPr>
              <w:fldChar w:fldCharType="begin"/>
            </w:r>
            <w:r w:rsidR="00552574" w:rsidRPr="005A242A">
              <w:rPr>
                <w:rFonts w:ascii="Arial Narrow" w:hAnsi="Arial Narrow"/>
                <w:noProof/>
                <w:webHidden/>
              </w:rPr>
              <w:instrText xml:space="preserve"> PAGEREF _Toc14293776 \h </w:instrText>
            </w:r>
            <w:r w:rsidR="00552574" w:rsidRPr="005A242A">
              <w:rPr>
                <w:rFonts w:ascii="Arial Narrow" w:hAnsi="Arial Narrow"/>
                <w:noProof/>
                <w:webHidden/>
              </w:rPr>
            </w:r>
            <w:r w:rsidR="00552574" w:rsidRPr="005A242A">
              <w:rPr>
                <w:rFonts w:ascii="Arial Narrow" w:hAnsi="Arial Narrow"/>
                <w:noProof/>
                <w:webHidden/>
              </w:rPr>
              <w:fldChar w:fldCharType="separate"/>
            </w:r>
            <w:r w:rsidR="00CE28A8">
              <w:rPr>
                <w:rFonts w:ascii="Arial Narrow" w:hAnsi="Arial Narrow"/>
                <w:noProof/>
                <w:webHidden/>
              </w:rPr>
              <w:t>96</w:t>
            </w:r>
            <w:r w:rsidR="00552574" w:rsidRPr="005A242A">
              <w:rPr>
                <w:rFonts w:ascii="Arial Narrow" w:hAnsi="Arial Narrow"/>
                <w:noProof/>
                <w:webHidden/>
              </w:rPr>
              <w:fldChar w:fldCharType="end"/>
            </w:r>
          </w:hyperlink>
        </w:p>
        <w:p w:rsidR="00552574" w:rsidRPr="005A242A" w:rsidRDefault="007C0694">
          <w:pPr>
            <w:pStyle w:val="TDC3"/>
            <w:tabs>
              <w:tab w:val="left" w:pos="1100"/>
              <w:tab w:val="right" w:leader="dot" w:pos="8828"/>
            </w:tabs>
            <w:rPr>
              <w:rFonts w:ascii="Arial Narrow" w:hAnsi="Arial Narrow" w:cstheme="minorBidi"/>
              <w:noProof/>
            </w:rPr>
          </w:pPr>
          <w:hyperlink w:anchor="_Toc14293777" w:history="1">
            <w:r w:rsidR="00552574" w:rsidRPr="005A242A">
              <w:rPr>
                <w:rStyle w:val="Hipervnculo"/>
                <w:rFonts w:ascii="Arial Narrow" w:hAnsi="Arial Narrow"/>
                <w:b/>
                <w:noProof/>
              </w:rPr>
              <w:t>5.1</w:t>
            </w:r>
            <w:r w:rsidR="00552574" w:rsidRPr="005A242A">
              <w:rPr>
                <w:rFonts w:ascii="Arial Narrow" w:hAnsi="Arial Narrow" w:cstheme="minorBidi"/>
                <w:noProof/>
              </w:rPr>
              <w:tab/>
            </w:r>
            <w:r w:rsidR="00552574" w:rsidRPr="005A242A">
              <w:rPr>
                <w:rStyle w:val="Hipervnculo"/>
                <w:rFonts w:ascii="Arial Narrow" w:hAnsi="Arial Narrow"/>
                <w:b/>
                <w:noProof/>
              </w:rPr>
              <w:t>Análisis global de cumplimiento de los Partidos Políticos de la Ciudad de México</w:t>
            </w:r>
            <w:r w:rsidR="00552574" w:rsidRPr="005A242A">
              <w:rPr>
                <w:rFonts w:ascii="Arial Narrow" w:hAnsi="Arial Narrow"/>
                <w:noProof/>
                <w:webHidden/>
              </w:rPr>
              <w:tab/>
            </w:r>
            <w:r w:rsidR="00552574" w:rsidRPr="005A242A">
              <w:rPr>
                <w:rFonts w:ascii="Arial Narrow" w:hAnsi="Arial Narrow"/>
                <w:noProof/>
                <w:webHidden/>
              </w:rPr>
              <w:fldChar w:fldCharType="begin"/>
            </w:r>
            <w:r w:rsidR="00552574" w:rsidRPr="005A242A">
              <w:rPr>
                <w:rFonts w:ascii="Arial Narrow" w:hAnsi="Arial Narrow"/>
                <w:noProof/>
                <w:webHidden/>
              </w:rPr>
              <w:instrText xml:space="preserve"> PAGEREF _Toc14293777 \h </w:instrText>
            </w:r>
            <w:r w:rsidR="00552574" w:rsidRPr="005A242A">
              <w:rPr>
                <w:rFonts w:ascii="Arial Narrow" w:hAnsi="Arial Narrow"/>
                <w:noProof/>
                <w:webHidden/>
              </w:rPr>
            </w:r>
            <w:r w:rsidR="00552574" w:rsidRPr="005A242A">
              <w:rPr>
                <w:rFonts w:ascii="Arial Narrow" w:hAnsi="Arial Narrow"/>
                <w:noProof/>
                <w:webHidden/>
              </w:rPr>
              <w:fldChar w:fldCharType="separate"/>
            </w:r>
            <w:r w:rsidR="00CE28A8">
              <w:rPr>
                <w:rFonts w:ascii="Arial Narrow" w:hAnsi="Arial Narrow"/>
                <w:noProof/>
                <w:webHidden/>
              </w:rPr>
              <w:t>97</w:t>
            </w:r>
            <w:r w:rsidR="00552574" w:rsidRPr="005A242A">
              <w:rPr>
                <w:rFonts w:ascii="Arial Narrow" w:hAnsi="Arial Narrow"/>
                <w:noProof/>
                <w:webHidden/>
              </w:rPr>
              <w:fldChar w:fldCharType="end"/>
            </w:r>
          </w:hyperlink>
        </w:p>
        <w:p w:rsidR="00552574" w:rsidRPr="005A242A" w:rsidRDefault="007C0694">
          <w:pPr>
            <w:pStyle w:val="TDC3"/>
            <w:tabs>
              <w:tab w:val="left" w:pos="1100"/>
              <w:tab w:val="right" w:leader="dot" w:pos="8828"/>
            </w:tabs>
            <w:rPr>
              <w:rFonts w:ascii="Arial Narrow" w:hAnsi="Arial Narrow" w:cstheme="minorBidi"/>
              <w:noProof/>
            </w:rPr>
          </w:pPr>
          <w:hyperlink w:anchor="_Toc14293778" w:history="1">
            <w:r w:rsidR="00552574" w:rsidRPr="005A242A">
              <w:rPr>
                <w:rStyle w:val="Hipervnculo"/>
                <w:rFonts w:ascii="Arial Narrow" w:hAnsi="Arial Narrow"/>
                <w:b/>
                <w:noProof/>
              </w:rPr>
              <w:t>5.2</w:t>
            </w:r>
            <w:r w:rsidR="00552574" w:rsidRPr="005A242A">
              <w:rPr>
                <w:rFonts w:ascii="Arial Narrow" w:hAnsi="Arial Narrow" w:cstheme="minorBidi"/>
                <w:noProof/>
              </w:rPr>
              <w:tab/>
            </w:r>
            <w:r w:rsidR="00552574" w:rsidRPr="005A242A">
              <w:rPr>
                <w:rStyle w:val="Hipervnculo"/>
                <w:rFonts w:ascii="Arial Narrow" w:hAnsi="Arial Narrow"/>
                <w:b/>
                <w:noProof/>
              </w:rPr>
              <w:t xml:space="preserve">Análisis del </w:t>
            </w:r>
            <w:r w:rsidR="009D7771" w:rsidRPr="005A242A">
              <w:rPr>
                <w:rStyle w:val="Hipervnculo"/>
                <w:rFonts w:ascii="Arial Narrow" w:hAnsi="Arial Narrow"/>
                <w:b/>
                <w:noProof/>
              </w:rPr>
              <w:t>Artículo</w:t>
            </w:r>
            <w:r w:rsidR="00552574" w:rsidRPr="005A242A">
              <w:rPr>
                <w:rStyle w:val="Hipervnculo"/>
                <w:rFonts w:ascii="Arial Narrow" w:hAnsi="Arial Narrow"/>
                <w:b/>
                <w:noProof/>
              </w:rPr>
              <w:t xml:space="preserve"> 121 y sus respectivas fracciones</w:t>
            </w:r>
            <w:r w:rsidR="00552574" w:rsidRPr="005A242A">
              <w:rPr>
                <w:rFonts w:ascii="Arial Narrow" w:hAnsi="Arial Narrow"/>
                <w:noProof/>
                <w:webHidden/>
              </w:rPr>
              <w:tab/>
            </w:r>
            <w:r w:rsidR="00552574" w:rsidRPr="005A242A">
              <w:rPr>
                <w:rFonts w:ascii="Arial Narrow" w:hAnsi="Arial Narrow"/>
                <w:noProof/>
                <w:webHidden/>
              </w:rPr>
              <w:fldChar w:fldCharType="begin"/>
            </w:r>
            <w:r w:rsidR="00552574" w:rsidRPr="005A242A">
              <w:rPr>
                <w:rFonts w:ascii="Arial Narrow" w:hAnsi="Arial Narrow"/>
                <w:noProof/>
                <w:webHidden/>
              </w:rPr>
              <w:instrText xml:space="preserve"> PAGEREF _Toc14293778 \h </w:instrText>
            </w:r>
            <w:r w:rsidR="00552574" w:rsidRPr="005A242A">
              <w:rPr>
                <w:rFonts w:ascii="Arial Narrow" w:hAnsi="Arial Narrow"/>
                <w:noProof/>
                <w:webHidden/>
              </w:rPr>
            </w:r>
            <w:r w:rsidR="00552574" w:rsidRPr="005A242A">
              <w:rPr>
                <w:rFonts w:ascii="Arial Narrow" w:hAnsi="Arial Narrow"/>
                <w:noProof/>
                <w:webHidden/>
              </w:rPr>
              <w:fldChar w:fldCharType="separate"/>
            </w:r>
            <w:r w:rsidR="00CE28A8">
              <w:rPr>
                <w:rFonts w:ascii="Arial Narrow" w:hAnsi="Arial Narrow"/>
                <w:noProof/>
                <w:webHidden/>
              </w:rPr>
              <w:t>99</w:t>
            </w:r>
            <w:r w:rsidR="00552574" w:rsidRPr="005A242A">
              <w:rPr>
                <w:rFonts w:ascii="Arial Narrow" w:hAnsi="Arial Narrow"/>
                <w:noProof/>
                <w:webHidden/>
              </w:rPr>
              <w:fldChar w:fldCharType="end"/>
            </w:r>
          </w:hyperlink>
        </w:p>
        <w:p w:rsidR="00552574" w:rsidRPr="005A242A" w:rsidRDefault="007C0694">
          <w:pPr>
            <w:pStyle w:val="TDC3"/>
            <w:tabs>
              <w:tab w:val="left" w:pos="1100"/>
              <w:tab w:val="right" w:leader="dot" w:pos="8828"/>
            </w:tabs>
            <w:rPr>
              <w:rFonts w:ascii="Arial Narrow" w:hAnsi="Arial Narrow" w:cstheme="minorBidi"/>
              <w:noProof/>
            </w:rPr>
          </w:pPr>
          <w:hyperlink w:anchor="_Toc14293779" w:history="1">
            <w:r w:rsidR="00552574" w:rsidRPr="005A242A">
              <w:rPr>
                <w:rStyle w:val="Hipervnculo"/>
                <w:rFonts w:ascii="Arial Narrow" w:hAnsi="Arial Narrow"/>
                <w:b/>
                <w:noProof/>
              </w:rPr>
              <w:t>5.3</w:t>
            </w:r>
            <w:r w:rsidR="00552574" w:rsidRPr="005A242A">
              <w:rPr>
                <w:rFonts w:ascii="Arial Narrow" w:hAnsi="Arial Narrow" w:cstheme="minorBidi"/>
                <w:noProof/>
              </w:rPr>
              <w:tab/>
            </w:r>
            <w:r w:rsidR="00552574" w:rsidRPr="005A242A">
              <w:rPr>
                <w:rStyle w:val="Hipervnculo"/>
                <w:rFonts w:ascii="Arial Narrow" w:hAnsi="Arial Narrow"/>
                <w:b/>
                <w:noProof/>
              </w:rPr>
              <w:t xml:space="preserve">Análisis del </w:t>
            </w:r>
            <w:r w:rsidR="009D7771" w:rsidRPr="005A242A">
              <w:rPr>
                <w:rStyle w:val="Hipervnculo"/>
                <w:rFonts w:ascii="Arial Narrow" w:hAnsi="Arial Narrow"/>
                <w:b/>
                <w:noProof/>
              </w:rPr>
              <w:t>Artículo</w:t>
            </w:r>
            <w:r w:rsidR="00552574" w:rsidRPr="005A242A">
              <w:rPr>
                <w:rStyle w:val="Hipervnculo"/>
                <w:rFonts w:ascii="Arial Narrow" w:hAnsi="Arial Narrow"/>
                <w:b/>
                <w:noProof/>
              </w:rPr>
              <w:t xml:space="preserve"> 129 y sus respectivas fracciones</w:t>
            </w:r>
            <w:r w:rsidR="00552574" w:rsidRPr="005A242A">
              <w:rPr>
                <w:rFonts w:ascii="Arial Narrow" w:hAnsi="Arial Narrow"/>
                <w:noProof/>
                <w:webHidden/>
              </w:rPr>
              <w:tab/>
            </w:r>
            <w:r w:rsidR="00552574" w:rsidRPr="005A242A">
              <w:rPr>
                <w:rFonts w:ascii="Arial Narrow" w:hAnsi="Arial Narrow"/>
                <w:noProof/>
                <w:webHidden/>
              </w:rPr>
              <w:fldChar w:fldCharType="begin"/>
            </w:r>
            <w:r w:rsidR="00552574" w:rsidRPr="005A242A">
              <w:rPr>
                <w:rFonts w:ascii="Arial Narrow" w:hAnsi="Arial Narrow"/>
                <w:noProof/>
                <w:webHidden/>
              </w:rPr>
              <w:instrText xml:space="preserve"> PAGEREF _Toc14293779 \h </w:instrText>
            </w:r>
            <w:r w:rsidR="00552574" w:rsidRPr="005A242A">
              <w:rPr>
                <w:rFonts w:ascii="Arial Narrow" w:hAnsi="Arial Narrow"/>
                <w:noProof/>
                <w:webHidden/>
              </w:rPr>
            </w:r>
            <w:r w:rsidR="00552574" w:rsidRPr="005A242A">
              <w:rPr>
                <w:rFonts w:ascii="Arial Narrow" w:hAnsi="Arial Narrow"/>
                <w:noProof/>
                <w:webHidden/>
              </w:rPr>
              <w:fldChar w:fldCharType="separate"/>
            </w:r>
            <w:r w:rsidR="00CE28A8">
              <w:rPr>
                <w:rFonts w:ascii="Arial Narrow" w:hAnsi="Arial Narrow"/>
                <w:noProof/>
                <w:webHidden/>
              </w:rPr>
              <w:t>101</w:t>
            </w:r>
            <w:r w:rsidR="00552574" w:rsidRPr="005A242A">
              <w:rPr>
                <w:rFonts w:ascii="Arial Narrow" w:hAnsi="Arial Narrow"/>
                <w:noProof/>
                <w:webHidden/>
              </w:rPr>
              <w:fldChar w:fldCharType="end"/>
            </w:r>
          </w:hyperlink>
        </w:p>
        <w:p w:rsidR="00552574" w:rsidRPr="005A242A" w:rsidRDefault="007C0694">
          <w:pPr>
            <w:pStyle w:val="TDC3"/>
            <w:tabs>
              <w:tab w:val="left" w:pos="1100"/>
              <w:tab w:val="right" w:leader="dot" w:pos="8828"/>
            </w:tabs>
            <w:rPr>
              <w:rFonts w:ascii="Arial Narrow" w:hAnsi="Arial Narrow" w:cstheme="minorBidi"/>
              <w:noProof/>
            </w:rPr>
          </w:pPr>
          <w:hyperlink w:anchor="_Toc14293780" w:history="1">
            <w:r w:rsidR="00552574" w:rsidRPr="005A242A">
              <w:rPr>
                <w:rStyle w:val="Hipervnculo"/>
                <w:rFonts w:ascii="Arial Narrow" w:hAnsi="Arial Narrow"/>
                <w:b/>
                <w:noProof/>
              </w:rPr>
              <w:t>5.4</w:t>
            </w:r>
            <w:r w:rsidR="00552574" w:rsidRPr="005A242A">
              <w:rPr>
                <w:rFonts w:ascii="Arial Narrow" w:hAnsi="Arial Narrow" w:cstheme="minorBidi"/>
                <w:noProof/>
              </w:rPr>
              <w:tab/>
            </w:r>
            <w:r w:rsidR="00552574" w:rsidRPr="005A242A">
              <w:rPr>
                <w:rStyle w:val="Hipervnculo"/>
                <w:rFonts w:ascii="Arial Narrow" w:hAnsi="Arial Narrow"/>
                <w:b/>
                <w:noProof/>
              </w:rPr>
              <w:t xml:space="preserve">Análisis del </w:t>
            </w:r>
            <w:r w:rsidR="009D7771" w:rsidRPr="005A242A">
              <w:rPr>
                <w:rStyle w:val="Hipervnculo"/>
                <w:rFonts w:ascii="Arial Narrow" w:hAnsi="Arial Narrow"/>
                <w:b/>
                <w:noProof/>
              </w:rPr>
              <w:t>Artículo</w:t>
            </w:r>
            <w:r w:rsidR="00552574" w:rsidRPr="005A242A">
              <w:rPr>
                <w:rStyle w:val="Hipervnculo"/>
                <w:rFonts w:ascii="Arial Narrow" w:hAnsi="Arial Narrow"/>
                <w:b/>
                <w:noProof/>
              </w:rPr>
              <w:t xml:space="preserve"> 143</w:t>
            </w:r>
            <w:r w:rsidR="00552574" w:rsidRPr="005A242A">
              <w:rPr>
                <w:rFonts w:ascii="Arial Narrow" w:hAnsi="Arial Narrow"/>
                <w:noProof/>
                <w:webHidden/>
              </w:rPr>
              <w:tab/>
            </w:r>
            <w:r w:rsidR="00552574" w:rsidRPr="005A242A">
              <w:rPr>
                <w:rFonts w:ascii="Arial Narrow" w:hAnsi="Arial Narrow"/>
                <w:noProof/>
                <w:webHidden/>
              </w:rPr>
              <w:fldChar w:fldCharType="begin"/>
            </w:r>
            <w:r w:rsidR="00552574" w:rsidRPr="005A242A">
              <w:rPr>
                <w:rFonts w:ascii="Arial Narrow" w:hAnsi="Arial Narrow"/>
                <w:noProof/>
                <w:webHidden/>
              </w:rPr>
              <w:instrText xml:space="preserve"> PAGEREF _Toc14293780 \h </w:instrText>
            </w:r>
            <w:r w:rsidR="00552574" w:rsidRPr="005A242A">
              <w:rPr>
                <w:rFonts w:ascii="Arial Narrow" w:hAnsi="Arial Narrow"/>
                <w:noProof/>
                <w:webHidden/>
              </w:rPr>
            </w:r>
            <w:r w:rsidR="00552574" w:rsidRPr="005A242A">
              <w:rPr>
                <w:rFonts w:ascii="Arial Narrow" w:hAnsi="Arial Narrow"/>
                <w:noProof/>
                <w:webHidden/>
              </w:rPr>
              <w:fldChar w:fldCharType="separate"/>
            </w:r>
            <w:r w:rsidR="00CE28A8">
              <w:rPr>
                <w:rFonts w:ascii="Arial Narrow" w:hAnsi="Arial Narrow"/>
                <w:noProof/>
                <w:webHidden/>
              </w:rPr>
              <w:t>103</w:t>
            </w:r>
            <w:r w:rsidR="00552574" w:rsidRPr="005A242A">
              <w:rPr>
                <w:rFonts w:ascii="Arial Narrow" w:hAnsi="Arial Narrow"/>
                <w:noProof/>
                <w:webHidden/>
              </w:rPr>
              <w:fldChar w:fldCharType="end"/>
            </w:r>
          </w:hyperlink>
        </w:p>
        <w:p w:rsidR="00552574" w:rsidRPr="005A242A" w:rsidRDefault="007C0694">
          <w:pPr>
            <w:pStyle w:val="TDC3"/>
            <w:tabs>
              <w:tab w:val="left" w:pos="1100"/>
              <w:tab w:val="right" w:leader="dot" w:pos="8828"/>
            </w:tabs>
            <w:rPr>
              <w:rFonts w:ascii="Arial Narrow" w:hAnsi="Arial Narrow" w:cstheme="minorBidi"/>
              <w:noProof/>
            </w:rPr>
          </w:pPr>
          <w:hyperlink w:anchor="_Toc14293781" w:history="1">
            <w:r w:rsidR="00552574" w:rsidRPr="005A242A">
              <w:rPr>
                <w:rStyle w:val="Hipervnculo"/>
                <w:rFonts w:ascii="Arial Narrow" w:hAnsi="Arial Narrow"/>
                <w:b/>
                <w:noProof/>
              </w:rPr>
              <w:t>5.5</w:t>
            </w:r>
            <w:r w:rsidR="00552574" w:rsidRPr="005A242A">
              <w:rPr>
                <w:rFonts w:ascii="Arial Narrow" w:hAnsi="Arial Narrow" w:cstheme="minorBidi"/>
                <w:noProof/>
              </w:rPr>
              <w:tab/>
            </w:r>
            <w:r w:rsidR="00552574" w:rsidRPr="005A242A">
              <w:rPr>
                <w:rStyle w:val="Hipervnculo"/>
                <w:rFonts w:ascii="Arial Narrow" w:hAnsi="Arial Narrow"/>
                <w:b/>
                <w:noProof/>
              </w:rPr>
              <w:t xml:space="preserve">Análisis del </w:t>
            </w:r>
            <w:r w:rsidR="009D7771" w:rsidRPr="005A242A">
              <w:rPr>
                <w:rStyle w:val="Hipervnculo"/>
                <w:rFonts w:ascii="Arial Narrow" w:hAnsi="Arial Narrow"/>
                <w:b/>
                <w:noProof/>
              </w:rPr>
              <w:t>Artículo</w:t>
            </w:r>
            <w:r w:rsidR="00552574" w:rsidRPr="005A242A">
              <w:rPr>
                <w:rStyle w:val="Hipervnculo"/>
                <w:rFonts w:ascii="Arial Narrow" w:hAnsi="Arial Narrow"/>
                <w:b/>
                <w:noProof/>
              </w:rPr>
              <w:t xml:space="preserve"> 145</w:t>
            </w:r>
            <w:r w:rsidR="00552574" w:rsidRPr="005A242A">
              <w:rPr>
                <w:rFonts w:ascii="Arial Narrow" w:hAnsi="Arial Narrow"/>
                <w:noProof/>
                <w:webHidden/>
              </w:rPr>
              <w:tab/>
            </w:r>
            <w:r w:rsidR="00552574" w:rsidRPr="005A242A">
              <w:rPr>
                <w:rFonts w:ascii="Arial Narrow" w:hAnsi="Arial Narrow"/>
                <w:noProof/>
                <w:webHidden/>
              </w:rPr>
              <w:fldChar w:fldCharType="begin"/>
            </w:r>
            <w:r w:rsidR="00552574" w:rsidRPr="005A242A">
              <w:rPr>
                <w:rFonts w:ascii="Arial Narrow" w:hAnsi="Arial Narrow"/>
                <w:noProof/>
                <w:webHidden/>
              </w:rPr>
              <w:instrText xml:space="preserve"> PAGEREF _Toc14293781 \h </w:instrText>
            </w:r>
            <w:r w:rsidR="00552574" w:rsidRPr="005A242A">
              <w:rPr>
                <w:rFonts w:ascii="Arial Narrow" w:hAnsi="Arial Narrow"/>
                <w:noProof/>
                <w:webHidden/>
              </w:rPr>
            </w:r>
            <w:r w:rsidR="00552574" w:rsidRPr="005A242A">
              <w:rPr>
                <w:rFonts w:ascii="Arial Narrow" w:hAnsi="Arial Narrow"/>
                <w:noProof/>
                <w:webHidden/>
              </w:rPr>
              <w:fldChar w:fldCharType="separate"/>
            </w:r>
            <w:r w:rsidR="00CE28A8">
              <w:rPr>
                <w:rFonts w:ascii="Arial Narrow" w:hAnsi="Arial Narrow"/>
                <w:noProof/>
                <w:webHidden/>
              </w:rPr>
              <w:t>103</w:t>
            </w:r>
            <w:r w:rsidR="00552574" w:rsidRPr="005A242A">
              <w:rPr>
                <w:rFonts w:ascii="Arial Narrow" w:hAnsi="Arial Narrow"/>
                <w:noProof/>
                <w:webHidden/>
              </w:rPr>
              <w:fldChar w:fldCharType="end"/>
            </w:r>
          </w:hyperlink>
        </w:p>
        <w:p w:rsidR="00552574" w:rsidRPr="005A242A" w:rsidRDefault="007C0694">
          <w:pPr>
            <w:pStyle w:val="TDC3"/>
            <w:tabs>
              <w:tab w:val="left" w:pos="1100"/>
              <w:tab w:val="right" w:leader="dot" w:pos="8828"/>
            </w:tabs>
            <w:rPr>
              <w:rFonts w:ascii="Arial Narrow" w:hAnsi="Arial Narrow" w:cstheme="minorBidi"/>
              <w:noProof/>
            </w:rPr>
          </w:pPr>
          <w:hyperlink w:anchor="_Toc14293782" w:history="1">
            <w:r w:rsidR="00552574" w:rsidRPr="005A242A">
              <w:rPr>
                <w:rStyle w:val="Hipervnculo"/>
                <w:rFonts w:ascii="Arial Narrow" w:hAnsi="Arial Narrow"/>
                <w:b/>
                <w:noProof/>
              </w:rPr>
              <w:t>5.6</w:t>
            </w:r>
            <w:r w:rsidR="00552574" w:rsidRPr="005A242A">
              <w:rPr>
                <w:rFonts w:ascii="Arial Narrow" w:hAnsi="Arial Narrow" w:cstheme="minorBidi"/>
                <w:noProof/>
              </w:rPr>
              <w:tab/>
            </w:r>
            <w:r w:rsidR="00552574" w:rsidRPr="005A242A">
              <w:rPr>
                <w:rStyle w:val="Hipervnculo"/>
                <w:rFonts w:ascii="Arial Narrow" w:hAnsi="Arial Narrow"/>
                <w:b/>
                <w:noProof/>
              </w:rPr>
              <w:t xml:space="preserve">Análisis del </w:t>
            </w:r>
            <w:r w:rsidR="009D7771" w:rsidRPr="005A242A">
              <w:rPr>
                <w:rStyle w:val="Hipervnculo"/>
                <w:rFonts w:ascii="Arial Narrow" w:hAnsi="Arial Narrow"/>
                <w:b/>
                <w:noProof/>
              </w:rPr>
              <w:t>Artículo</w:t>
            </w:r>
            <w:r w:rsidR="00552574" w:rsidRPr="005A242A">
              <w:rPr>
                <w:rStyle w:val="Hipervnculo"/>
                <w:rFonts w:ascii="Arial Narrow" w:hAnsi="Arial Narrow"/>
                <w:b/>
                <w:noProof/>
              </w:rPr>
              <w:t xml:space="preserve"> 146</w:t>
            </w:r>
            <w:r w:rsidR="00552574" w:rsidRPr="005A242A">
              <w:rPr>
                <w:rFonts w:ascii="Arial Narrow" w:hAnsi="Arial Narrow"/>
                <w:noProof/>
                <w:webHidden/>
              </w:rPr>
              <w:tab/>
            </w:r>
            <w:r w:rsidR="00552574" w:rsidRPr="005A242A">
              <w:rPr>
                <w:rFonts w:ascii="Arial Narrow" w:hAnsi="Arial Narrow"/>
                <w:noProof/>
                <w:webHidden/>
              </w:rPr>
              <w:fldChar w:fldCharType="begin"/>
            </w:r>
            <w:r w:rsidR="00552574" w:rsidRPr="005A242A">
              <w:rPr>
                <w:rFonts w:ascii="Arial Narrow" w:hAnsi="Arial Narrow"/>
                <w:noProof/>
                <w:webHidden/>
              </w:rPr>
              <w:instrText xml:space="preserve"> PAGEREF _Toc14293782 \h </w:instrText>
            </w:r>
            <w:r w:rsidR="00552574" w:rsidRPr="005A242A">
              <w:rPr>
                <w:rFonts w:ascii="Arial Narrow" w:hAnsi="Arial Narrow"/>
                <w:noProof/>
                <w:webHidden/>
              </w:rPr>
            </w:r>
            <w:r w:rsidR="00552574" w:rsidRPr="005A242A">
              <w:rPr>
                <w:rFonts w:ascii="Arial Narrow" w:hAnsi="Arial Narrow"/>
                <w:noProof/>
                <w:webHidden/>
              </w:rPr>
              <w:fldChar w:fldCharType="separate"/>
            </w:r>
            <w:r w:rsidR="00CE28A8">
              <w:rPr>
                <w:rFonts w:ascii="Arial Narrow" w:hAnsi="Arial Narrow"/>
                <w:noProof/>
                <w:webHidden/>
              </w:rPr>
              <w:t>104</w:t>
            </w:r>
            <w:r w:rsidR="00552574" w:rsidRPr="005A242A">
              <w:rPr>
                <w:rFonts w:ascii="Arial Narrow" w:hAnsi="Arial Narrow"/>
                <w:noProof/>
                <w:webHidden/>
              </w:rPr>
              <w:fldChar w:fldCharType="end"/>
            </w:r>
          </w:hyperlink>
        </w:p>
        <w:p w:rsidR="00552574" w:rsidRPr="005A242A" w:rsidRDefault="007C0694">
          <w:pPr>
            <w:pStyle w:val="TDC3"/>
            <w:tabs>
              <w:tab w:val="left" w:pos="1100"/>
              <w:tab w:val="right" w:leader="dot" w:pos="8828"/>
            </w:tabs>
            <w:rPr>
              <w:rFonts w:ascii="Arial Narrow" w:hAnsi="Arial Narrow" w:cstheme="minorBidi"/>
              <w:noProof/>
            </w:rPr>
          </w:pPr>
          <w:hyperlink w:anchor="_Toc14293783" w:history="1">
            <w:r w:rsidR="00552574" w:rsidRPr="005A242A">
              <w:rPr>
                <w:rStyle w:val="Hipervnculo"/>
                <w:rFonts w:ascii="Arial Narrow" w:hAnsi="Arial Narrow"/>
                <w:b/>
                <w:noProof/>
              </w:rPr>
              <w:t>5.7</w:t>
            </w:r>
            <w:r w:rsidR="00552574" w:rsidRPr="005A242A">
              <w:rPr>
                <w:rFonts w:ascii="Arial Narrow" w:hAnsi="Arial Narrow" w:cstheme="minorBidi"/>
                <w:noProof/>
              </w:rPr>
              <w:tab/>
            </w:r>
            <w:r w:rsidR="00552574" w:rsidRPr="005A242A">
              <w:rPr>
                <w:rStyle w:val="Hipervnculo"/>
                <w:rFonts w:ascii="Arial Narrow" w:hAnsi="Arial Narrow"/>
                <w:b/>
                <w:noProof/>
              </w:rPr>
              <w:t xml:space="preserve">Análisis del </w:t>
            </w:r>
            <w:r w:rsidR="009D7771" w:rsidRPr="005A242A">
              <w:rPr>
                <w:rStyle w:val="Hipervnculo"/>
                <w:rFonts w:ascii="Arial Narrow" w:hAnsi="Arial Narrow"/>
                <w:b/>
                <w:noProof/>
              </w:rPr>
              <w:t>Artículo</w:t>
            </w:r>
            <w:r w:rsidR="00552574" w:rsidRPr="005A242A">
              <w:rPr>
                <w:rStyle w:val="Hipervnculo"/>
                <w:rFonts w:ascii="Arial Narrow" w:hAnsi="Arial Narrow"/>
                <w:b/>
                <w:noProof/>
              </w:rPr>
              <w:t xml:space="preserve"> 147</w:t>
            </w:r>
            <w:r w:rsidR="00552574" w:rsidRPr="005A242A">
              <w:rPr>
                <w:rFonts w:ascii="Arial Narrow" w:hAnsi="Arial Narrow"/>
                <w:noProof/>
                <w:webHidden/>
              </w:rPr>
              <w:tab/>
            </w:r>
            <w:r w:rsidR="00552574" w:rsidRPr="005A242A">
              <w:rPr>
                <w:rFonts w:ascii="Arial Narrow" w:hAnsi="Arial Narrow"/>
                <w:noProof/>
                <w:webHidden/>
              </w:rPr>
              <w:fldChar w:fldCharType="begin"/>
            </w:r>
            <w:r w:rsidR="00552574" w:rsidRPr="005A242A">
              <w:rPr>
                <w:rFonts w:ascii="Arial Narrow" w:hAnsi="Arial Narrow"/>
                <w:noProof/>
                <w:webHidden/>
              </w:rPr>
              <w:instrText xml:space="preserve"> PAGEREF _Toc14293783 \h </w:instrText>
            </w:r>
            <w:r w:rsidR="00552574" w:rsidRPr="005A242A">
              <w:rPr>
                <w:rFonts w:ascii="Arial Narrow" w:hAnsi="Arial Narrow"/>
                <w:noProof/>
                <w:webHidden/>
              </w:rPr>
            </w:r>
            <w:r w:rsidR="00552574" w:rsidRPr="005A242A">
              <w:rPr>
                <w:rFonts w:ascii="Arial Narrow" w:hAnsi="Arial Narrow"/>
                <w:noProof/>
                <w:webHidden/>
              </w:rPr>
              <w:fldChar w:fldCharType="separate"/>
            </w:r>
            <w:r w:rsidR="00CE28A8">
              <w:rPr>
                <w:rFonts w:ascii="Arial Narrow" w:hAnsi="Arial Narrow"/>
                <w:noProof/>
                <w:webHidden/>
              </w:rPr>
              <w:t>105</w:t>
            </w:r>
            <w:r w:rsidR="00552574" w:rsidRPr="005A242A">
              <w:rPr>
                <w:rFonts w:ascii="Arial Narrow" w:hAnsi="Arial Narrow"/>
                <w:noProof/>
                <w:webHidden/>
              </w:rPr>
              <w:fldChar w:fldCharType="end"/>
            </w:r>
          </w:hyperlink>
        </w:p>
        <w:p w:rsidR="00552574" w:rsidRPr="005A242A" w:rsidRDefault="007C0694">
          <w:pPr>
            <w:pStyle w:val="TDC1"/>
            <w:tabs>
              <w:tab w:val="left" w:pos="440"/>
              <w:tab w:val="right" w:leader="dot" w:pos="8828"/>
            </w:tabs>
            <w:rPr>
              <w:rFonts w:ascii="Arial Narrow" w:hAnsi="Arial Narrow" w:cstheme="minorBidi"/>
              <w:noProof/>
            </w:rPr>
          </w:pPr>
          <w:hyperlink w:anchor="_Toc14293784" w:history="1">
            <w:r w:rsidR="00552574" w:rsidRPr="005A242A">
              <w:rPr>
                <w:rStyle w:val="Hipervnculo"/>
                <w:rFonts w:ascii="Arial Narrow" w:hAnsi="Arial Narrow"/>
                <w:b/>
                <w:noProof/>
              </w:rPr>
              <w:t>6.</w:t>
            </w:r>
            <w:r w:rsidR="00552574" w:rsidRPr="005A242A">
              <w:rPr>
                <w:rFonts w:ascii="Arial Narrow" w:hAnsi="Arial Narrow" w:cstheme="minorBidi"/>
                <w:noProof/>
              </w:rPr>
              <w:tab/>
            </w:r>
            <w:r w:rsidR="00552574" w:rsidRPr="005A242A">
              <w:rPr>
                <w:rStyle w:val="Hipervnculo"/>
                <w:rFonts w:ascii="Arial Narrow" w:hAnsi="Arial Narrow"/>
                <w:b/>
                <w:noProof/>
              </w:rPr>
              <w:t>SINDICATOS</w:t>
            </w:r>
            <w:r w:rsidR="00552574" w:rsidRPr="005A242A">
              <w:rPr>
                <w:rFonts w:ascii="Arial Narrow" w:hAnsi="Arial Narrow"/>
                <w:noProof/>
                <w:webHidden/>
              </w:rPr>
              <w:tab/>
            </w:r>
            <w:r w:rsidR="00552574" w:rsidRPr="005A242A">
              <w:rPr>
                <w:rFonts w:ascii="Arial Narrow" w:hAnsi="Arial Narrow"/>
                <w:noProof/>
                <w:webHidden/>
              </w:rPr>
              <w:fldChar w:fldCharType="begin"/>
            </w:r>
            <w:r w:rsidR="00552574" w:rsidRPr="005A242A">
              <w:rPr>
                <w:rFonts w:ascii="Arial Narrow" w:hAnsi="Arial Narrow"/>
                <w:noProof/>
                <w:webHidden/>
              </w:rPr>
              <w:instrText xml:space="preserve"> PAGEREF _Toc14293784 \h </w:instrText>
            </w:r>
            <w:r w:rsidR="00552574" w:rsidRPr="005A242A">
              <w:rPr>
                <w:rFonts w:ascii="Arial Narrow" w:hAnsi="Arial Narrow"/>
                <w:noProof/>
                <w:webHidden/>
              </w:rPr>
            </w:r>
            <w:r w:rsidR="00552574" w:rsidRPr="005A242A">
              <w:rPr>
                <w:rFonts w:ascii="Arial Narrow" w:hAnsi="Arial Narrow"/>
                <w:noProof/>
                <w:webHidden/>
              </w:rPr>
              <w:fldChar w:fldCharType="separate"/>
            </w:r>
            <w:r w:rsidR="00CE28A8">
              <w:rPr>
                <w:rFonts w:ascii="Arial Narrow" w:hAnsi="Arial Narrow"/>
                <w:noProof/>
                <w:webHidden/>
              </w:rPr>
              <w:t>106</w:t>
            </w:r>
            <w:r w:rsidR="00552574" w:rsidRPr="005A242A">
              <w:rPr>
                <w:rFonts w:ascii="Arial Narrow" w:hAnsi="Arial Narrow"/>
                <w:noProof/>
                <w:webHidden/>
              </w:rPr>
              <w:fldChar w:fldCharType="end"/>
            </w:r>
          </w:hyperlink>
        </w:p>
        <w:p w:rsidR="00552574" w:rsidRPr="005A242A" w:rsidRDefault="007C0694">
          <w:pPr>
            <w:pStyle w:val="TDC2"/>
            <w:tabs>
              <w:tab w:val="left" w:pos="880"/>
              <w:tab w:val="right" w:leader="dot" w:pos="8828"/>
            </w:tabs>
            <w:rPr>
              <w:rFonts w:ascii="Arial Narrow" w:hAnsi="Arial Narrow" w:cstheme="minorBidi"/>
              <w:noProof/>
            </w:rPr>
          </w:pPr>
          <w:hyperlink w:anchor="_Toc14293785" w:history="1">
            <w:r w:rsidR="00552574" w:rsidRPr="005A242A">
              <w:rPr>
                <w:rStyle w:val="Hipervnculo"/>
                <w:rFonts w:ascii="Arial Narrow" w:hAnsi="Arial Narrow"/>
                <w:b/>
                <w:noProof/>
              </w:rPr>
              <w:t>6.1</w:t>
            </w:r>
            <w:r w:rsidR="00552574" w:rsidRPr="005A242A">
              <w:rPr>
                <w:rFonts w:ascii="Arial Narrow" w:hAnsi="Arial Narrow" w:cstheme="minorBidi"/>
                <w:noProof/>
              </w:rPr>
              <w:tab/>
            </w:r>
            <w:r w:rsidR="00552574" w:rsidRPr="005A242A">
              <w:rPr>
                <w:rStyle w:val="Hipervnculo"/>
                <w:rFonts w:ascii="Arial Narrow" w:hAnsi="Arial Narrow"/>
                <w:b/>
                <w:noProof/>
              </w:rPr>
              <w:t>Análisis global de cumplimiento de los Sindicatos.</w:t>
            </w:r>
            <w:r w:rsidR="00552574" w:rsidRPr="005A242A">
              <w:rPr>
                <w:rFonts w:ascii="Arial Narrow" w:hAnsi="Arial Narrow"/>
                <w:noProof/>
                <w:webHidden/>
              </w:rPr>
              <w:tab/>
            </w:r>
            <w:r w:rsidR="00552574" w:rsidRPr="005A242A">
              <w:rPr>
                <w:rFonts w:ascii="Arial Narrow" w:hAnsi="Arial Narrow"/>
                <w:noProof/>
                <w:webHidden/>
              </w:rPr>
              <w:fldChar w:fldCharType="begin"/>
            </w:r>
            <w:r w:rsidR="00552574" w:rsidRPr="005A242A">
              <w:rPr>
                <w:rFonts w:ascii="Arial Narrow" w:hAnsi="Arial Narrow"/>
                <w:noProof/>
                <w:webHidden/>
              </w:rPr>
              <w:instrText xml:space="preserve"> PAGEREF _Toc14293785 \h </w:instrText>
            </w:r>
            <w:r w:rsidR="00552574" w:rsidRPr="005A242A">
              <w:rPr>
                <w:rFonts w:ascii="Arial Narrow" w:hAnsi="Arial Narrow"/>
                <w:noProof/>
                <w:webHidden/>
              </w:rPr>
            </w:r>
            <w:r w:rsidR="00552574" w:rsidRPr="005A242A">
              <w:rPr>
                <w:rFonts w:ascii="Arial Narrow" w:hAnsi="Arial Narrow"/>
                <w:noProof/>
                <w:webHidden/>
              </w:rPr>
              <w:fldChar w:fldCharType="separate"/>
            </w:r>
            <w:r w:rsidR="00CE28A8">
              <w:rPr>
                <w:rFonts w:ascii="Arial Narrow" w:hAnsi="Arial Narrow"/>
                <w:noProof/>
                <w:webHidden/>
              </w:rPr>
              <w:t>108</w:t>
            </w:r>
            <w:r w:rsidR="00552574" w:rsidRPr="005A242A">
              <w:rPr>
                <w:rFonts w:ascii="Arial Narrow" w:hAnsi="Arial Narrow"/>
                <w:noProof/>
                <w:webHidden/>
              </w:rPr>
              <w:fldChar w:fldCharType="end"/>
            </w:r>
          </w:hyperlink>
        </w:p>
        <w:p w:rsidR="00552574" w:rsidRPr="005A242A" w:rsidRDefault="007C0694">
          <w:pPr>
            <w:pStyle w:val="TDC2"/>
            <w:tabs>
              <w:tab w:val="left" w:pos="880"/>
              <w:tab w:val="right" w:leader="dot" w:pos="8828"/>
            </w:tabs>
            <w:rPr>
              <w:rFonts w:ascii="Arial Narrow" w:hAnsi="Arial Narrow" w:cstheme="minorBidi"/>
              <w:noProof/>
            </w:rPr>
          </w:pPr>
          <w:hyperlink w:anchor="_Toc14293786" w:history="1">
            <w:r w:rsidR="00552574" w:rsidRPr="005A242A">
              <w:rPr>
                <w:rStyle w:val="Hipervnculo"/>
                <w:rFonts w:ascii="Arial Narrow" w:hAnsi="Arial Narrow"/>
                <w:b/>
                <w:noProof/>
              </w:rPr>
              <w:t>6.2</w:t>
            </w:r>
            <w:r w:rsidR="00552574" w:rsidRPr="005A242A">
              <w:rPr>
                <w:rFonts w:ascii="Arial Narrow" w:hAnsi="Arial Narrow" w:cstheme="minorBidi"/>
                <w:noProof/>
              </w:rPr>
              <w:tab/>
            </w:r>
            <w:r w:rsidR="00552574" w:rsidRPr="005A242A">
              <w:rPr>
                <w:rStyle w:val="Hipervnculo"/>
                <w:rFonts w:ascii="Arial Narrow" w:hAnsi="Arial Narrow"/>
                <w:b/>
                <w:noProof/>
              </w:rPr>
              <w:t xml:space="preserve">Análisis del </w:t>
            </w:r>
            <w:r w:rsidR="009D7771" w:rsidRPr="005A242A">
              <w:rPr>
                <w:rStyle w:val="Hipervnculo"/>
                <w:rFonts w:ascii="Arial Narrow" w:hAnsi="Arial Narrow"/>
                <w:b/>
                <w:noProof/>
              </w:rPr>
              <w:t>Artículo</w:t>
            </w:r>
            <w:r w:rsidR="00552574" w:rsidRPr="005A242A">
              <w:rPr>
                <w:rStyle w:val="Hipervnculo"/>
                <w:rFonts w:ascii="Arial Narrow" w:hAnsi="Arial Narrow"/>
                <w:b/>
                <w:noProof/>
              </w:rPr>
              <w:t xml:space="preserve"> 121 y sus respectivas fracciones</w:t>
            </w:r>
            <w:r w:rsidR="00552574" w:rsidRPr="005A242A">
              <w:rPr>
                <w:rFonts w:ascii="Arial Narrow" w:hAnsi="Arial Narrow"/>
                <w:noProof/>
                <w:webHidden/>
              </w:rPr>
              <w:tab/>
            </w:r>
            <w:r w:rsidR="00552574" w:rsidRPr="005A242A">
              <w:rPr>
                <w:rFonts w:ascii="Arial Narrow" w:hAnsi="Arial Narrow"/>
                <w:noProof/>
                <w:webHidden/>
              </w:rPr>
              <w:fldChar w:fldCharType="begin"/>
            </w:r>
            <w:r w:rsidR="00552574" w:rsidRPr="005A242A">
              <w:rPr>
                <w:rFonts w:ascii="Arial Narrow" w:hAnsi="Arial Narrow"/>
                <w:noProof/>
                <w:webHidden/>
              </w:rPr>
              <w:instrText xml:space="preserve"> PAGEREF _Toc14293786 \h </w:instrText>
            </w:r>
            <w:r w:rsidR="00552574" w:rsidRPr="005A242A">
              <w:rPr>
                <w:rFonts w:ascii="Arial Narrow" w:hAnsi="Arial Narrow"/>
                <w:noProof/>
                <w:webHidden/>
              </w:rPr>
            </w:r>
            <w:r w:rsidR="00552574" w:rsidRPr="005A242A">
              <w:rPr>
                <w:rFonts w:ascii="Arial Narrow" w:hAnsi="Arial Narrow"/>
                <w:noProof/>
                <w:webHidden/>
              </w:rPr>
              <w:fldChar w:fldCharType="separate"/>
            </w:r>
            <w:r w:rsidR="00CE28A8">
              <w:rPr>
                <w:rFonts w:ascii="Arial Narrow" w:hAnsi="Arial Narrow"/>
                <w:noProof/>
                <w:webHidden/>
              </w:rPr>
              <w:t>109</w:t>
            </w:r>
            <w:r w:rsidR="00552574" w:rsidRPr="005A242A">
              <w:rPr>
                <w:rFonts w:ascii="Arial Narrow" w:hAnsi="Arial Narrow"/>
                <w:noProof/>
                <w:webHidden/>
              </w:rPr>
              <w:fldChar w:fldCharType="end"/>
            </w:r>
          </w:hyperlink>
        </w:p>
        <w:p w:rsidR="00552574" w:rsidRPr="005A242A" w:rsidRDefault="007C0694">
          <w:pPr>
            <w:pStyle w:val="TDC2"/>
            <w:tabs>
              <w:tab w:val="left" w:pos="880"/>
              <w:tab w:val="right" w:leader="dot" w:pos="8828"/>
            </w:tabs>
            <w:rPr>
              <w:rFonts w:ascii="Arial Narrow" w:hAnsi="Arial Narrow" w:cstheme="minorBidi"/>
              <w:noProof/>
            </w:rPr>
          </w:pPr>
          <w:hyperlink w:anchor="_Toc14293787" w:history="1">
            <w:r w:rsidR="00552574" w:rsidRPr="005A242A">
              <w:rPr>
                <w:rStyle w:val="Hipervnculo"/>
                <w:rFonts w:ascii="Arial Narrow" w:hAnsi="Arial Narrow"/>
                <w:b/>
                <w:noProof/>
              </w:rPr>
              <w:t>6.3</w:t>
            </w:r>
            <w:r w:rsidR="00552574" w:rsidRPr="005A242A">
              <w:rPr>
                <w:rFonts w:ascii="Arial Narrow" w:hAnsi="Arial Narrow" w:cstheme="minorBidi"/>
                <w:noProof/>
              </w:rPr>
              <w:tab/>
            </w:r>
            <w:r w:rsidR="00552574" w:rsidRPr="005A242A">
              <w:rPr>
                <w:rStyle w:val="Hipervnculo"/>
                <w:rFonts w:ascii="Arial Narrow" w:hAnsi="Arial Narrow"/>
                <w:b/>
                <w:noProof/>
              </w:rPr>
              <w:t xml:space="preserve">Análisis del </w:t>
            </w:r>
            <w:r w:rsidR="009D7771" w:rsidRPr="005A242A">
              <w:rPr>
                <w:rStyle w:val="Hipervnculo"/>
                <w:rFonts w:ascii="Arial Narrow" w:hAnsi="Arial Narrow"/>
                <w:b/>
                <w:noProof/>
              </w:rPr>
              <w:t>Artículo</w:t>
            </w:r>
            <w:r w:rsidR="00552574" w:rsidRPr="005A242A">
              <w:rPr>
                <w:rStyle w:val="Hipervnculo"/>
                <w:rFonts w:ascii="Arial Narrow" w:hAnsi="Arial Narrow"/>
                <w:b/>
                <w:noProof/>
              </w:rPr>
              <w:t xml:space="preserve"> 137 y sus respectivas fracciones</w:t>
            </w:r>
            <w:r w:rsidR="00552574" w:rsidRPr="005A242A">
              <w:rPr>
                <w:rFonts w:ascii="Arial Narrow" w:hAnsi="Arial Narrow"/>
                <w:noProof/>
                <w:webHidden/>
              </w:rPr>
              <w:tab/>
            </w:r>
            <w:r w:rsidR="00552574" w:rsidRPr="005A242A">
              <w:rPr>
                <w:rFonts w:ascii="Arial Narrow" w:hAnsi="Arial Narrow"/>
                <w:noProof/>
                <w:webHidden/>
              </w:rPr>
              <w:fldChar w:fldCharType="begin"/>
            </w:r>
            <w:r w:rsidR="00552574" w:rsidRPr="005A242A">
              <w:rPr>
                <w:rFonts w:ascii="Arial Narrow" w:hAnsi="Arial Narrow"/>
                <w:noProof/>
                <w:webHidden/>
              </w:rPr>
              <w:instrText xml:space="preserve"> PAGEREF _Toc14293787 \h </w:instrText>
            </w:r>
            <w:r w:rsidR="00552574" w:rsidRPr="005A242A">
              <w:rPr>
                <w:rFonts w:ascii="Arial Narrow" w:hAnsi="Arial Narrow"/>
                <w:noProof/>
                <w:webHidden/>
              </w:rPr>
            </w:r>
            <w:r w:rsidR="00552574" w:rsidRPr="005A242A">
              <w:rPr>
                <w:rFonts w:ascii="Arial Narrow" w:hAnsi="Arial Narrow"/>
                <w:noProof/>
                <w:webHidden/>
              </w:rPr>
              <w:fldChar w:fldCharType="separate"/>
            </w:r>
            <w:r w:rsidR="00CE28A8">
              <w:rPr>
                <w:rFonts w:ascii="Arial Narrow" w:hAnsi="Arial Narrow"/>
                <w:noProof/>
                <w:webHidden/>
              </w:rPr>
              <w:t>112</w:t>
            </w:r>
            <w:r w:rsidR="00552574" w:rsidRPr="005A242A">
              <w:rPr>
                <w:rFonts w:ascii="Arial Narrow" w:hAnsi="Arial Narrow"/>
                <w:noProof/>
                <w:webHidden/>
              </w:rPr>
              <w:fldChar w:fldCharType="end"/>
            </w:r>
          </w:hyperlink>
        </w:p>
        <w:p w:rsidR="00552574" w:rsidRPr="005A242A" w:rsidRDefault="007C0694">
          <w:pPr>
            <w:pStyle w:val="TDC2"/>
            <w:tabs>
              <w:tab w:val="left" w:pos="880"/>
              <w:tab w:val="right" w:leader="dot" w:pos="8828"/>
            </w:tabs>
            <w:rPr>
              <w:rFonts w:ascii="Arial Narrow" w:hAnsi="Arial Narrow" w:cstheme="minorBidi"/>
              <w:noProof/>
            </w:rPr>
          </w:pPr>
          <w:hyperlink w:anchor="_Toc14293788" w:history="1">
            <w:r w:rsidR="00552574" w:rsidRPr="005A242A">
              <w:rPr>
                <w:rStyle w:val="Hipervnculo"/>
                <w:rFonts w:ascii="Arial Narrow" w:hAnsi="Arial Narrow"/>
                <w:b/>
                <w:noProof/>
              </w:rPr>
              <w:t>6.4</w:t>
            </w:r>
            <w:r w:rsidR="00552574" w:rsidRPr="005A242A">
              <w:rPr>
                <w:rFonts w:ascii="Arial Narrow" w:hAnsi="Arial Narrow" w:cstheme="minorBidi"/>
                <w:noProof/>
              </w:rPr>
              <w:tab/>
            </w:r>
            <w:r w:rsidR="00552574" w:rsidRPr="005A242A">
              <w:rPr>
                <w:rStyle w:val="Hipervnculo"/>
                <w:rFonts w:ascii="Arial Narrow" w:hAnsi="Arial Narrow"/>
                <w:b/>
                <w:noProof/>
              </w:rPr>
              <w:t xml:space="preserve">Análisis del </w:t>
            </w:r>
            <w:r w:rsidR="009D7771" w:rsidRPr="005A242A">
              <w:rPr>
                <w:rStyle w:val="Hipervnculo"/>
                <w:rFonts w:ascii="Arial Narrow" w:hAnsi="Arial Narrow"/>
                <w:b/>
                <w:noProof/>
              </w:rPr>
              <w:t>Artículo</w:t>
            </w:r>
            <w:r w:rsidR="00552574" w:rsidRPr="005A242A">
              <w:rPr>
                <w:rStyle w:val="Hipervnculo"/>
                <w:rFonts w:ascii="Arial Narrow" w:hAnsi="Arial Narrow"/>
                <w:b/>
                <w:noProof/>
              </w:rPr>
              <w:t xml:space="preserve"> 138 y sus respectivas fracciones</w:t>
            </w:r>
            <w:r w:rsidR="00552574" w:rsidRPr="005A242A">
              <w:rPr>
                <w:rFonts w:ascii="Arial Narrow" w:hAnsi="Arial Narrow"/>
                <w:noProof/>
                <w:webHidden/>
              </w:rPr>
              <w:tab/>
            </w:r>
            <w:r w:rsidR="00552574" w:rsidRPr="005A242A">
              <w:rPr>
                <w:rFonts w:ascii="Arial Narrow" w:hAnsi="Arial Narrow"/>
                <w:noProof/>
                <w:webHidden/>
              </w:rPr>
              <w:fldChar w:fldCharType="begin"/>
            </w:r>
            <w:r w:rsidR="00552574" w:rsidRPr="005A242A">
              <w:rPr>
                <w:rFonts w:ascii="Arial Narrow" w:hAnsi="Arial Narrow"/>
                <w:noProof/>
                <w:webHidden/>
              </w:rPr>
              <w:instrText xml:space="preserve"> PAGEREF _Toc14293788 \h </w:instrText>
            </w:r>
            <w:r w:rsidR="00552574" w:rsidRPr="005A242A">
              <w:rPr>
                <w:rFonts w:ascii="Arial Narrow" w:hAnsi="Arial Narrow"/>
                <w:noProof/>
                <w:webHidden/>
              </w:rPr>
            </w:r>
            <w:r w:rsidR="00552574" w:rsidRPr="005A242A">
              <w:rPr>
                <w:rFonts w:ascii="Arial Narrow" w:hAnsi="Arial Narrow"/>
                <w:noProof/>
                <w:webHidden/>
              </w:rPr>
              <w:fldChar w:fldCharType="separate"/>
            </w:r>
            <w:r w:rsidR="00CE28A8">
              <w:rPr>
                <w:rFonts w:ascii="Arial Narrow" w:hAnsi="Arial Narrow"/>
                <w:noProof/>
                <w:webHidden/>
              </w:rPr>
              <w:t>114</w:t>
            </w:r>
            <w:r w:rsidR="00552574" w:rsidRPr="005A242A">
              <w:rPr>
                <w:rFonts w:ascii="Arial Narrow" w:hAnsi="Arial Narrow"/>
                <w:noProof/>
                <w:webHidden/>
              </w:rPr>
              <w:fldChar w:fldCharType="end"/>
            </w:r>
          </w:hyperlink>
        </w:p>
        <w:p w:rsidR="00552574" w:rsidRPr="005A242A" w:rsidRDefault="007C0694">
          <w:pPr>
            <w:pStyle w:val="TDC2"/>
            <w:tabs>
              <w:tab w:val="left" w:pos="880"/>
              <w:tab w:val="right" w:leader="dot" w:pos="8828"/>
            </w:tabs>
            <w:rPr>
              <w:rFonts w:ascii="Arial Narrow" w:hAnsi="Arial Narrow" w:cstheme="minorBidi"/>
              <w:noProof/>
            </w:rPr>
          </w:pPr>
          <w:hyperlink w:anchor="_Toc14293789" w:history="1">
            <w:r w:rsidR="00552574" w:rsidRPr="005A242A">
              <w:rPr>
                <w:rStyle w:val="Hipervnculo"/>
                <w:rFonts w:ascii="Arial Narrow" w:hAnsi="Arial Narrow"/>
                <w:b/>
                <w:noProof/>
              </w:rPr>
              <w:t>6.5</w:t>
            </w:r>
            <w:r w:rsidR="00552574" w:rsidRPr="005A242A">
              <w:rPr>
                <w:rFonts w:ascii="Arial Narrow" w:hAnsi="Arial Narrow" w:cstheme="minorBidi"/>
                <w:noProof/>
              </w:rPr>
              <w:tab/>
            </w:r>
            <w:r w:rsidR="00552574" w:rsidRPr="005A242A">
              <w:rPr>
                <w:rStyle w:val="Hipervnculo"/>
                <w:rFonts w:ascii="Arial Narrow" w:hAnsi="Arial Narrow"/>
                <w:b/>
                <w:noProof/>
              </w:rPr>
              <w:t xml:space="preserve">Análisis del </w:t>
            </w:r>
            <w:r w:rsidR="009D7771" w:rsidRPr="005A242A">
              <w:rPr>
                <w:rStyle w:val="Hipervnculo"/>
                <w:rFonts w:ascii="Arial Narrow" w:hAnsi="Arial Narrow"/>
                <w:b/>
                <w:noProof/>
              </w:rPr>
              <w:t>Artículo</w:t>
            </w:r>
            <w:r w:rsidR="00552574" w:rsidRPr="005A242A">
              <w:rPr>
                <w:rStyle w:val="Hipervnculo"/>
                <w:rFonts w:ascii="Arial Narrow" w:hAnsi="Arial Narrow"/>
                <w:b/>
                <w:noProof/>
              </w:rPr>
              <w:t xml:space="preserve"> 145</w:t>
            </w:r>
            <w:r w:rsidR="00552574" w:rsidRPr="005A242A">
              <w:rPr>
                <w:rFonts w:ascii="Arial Narrow" w:hAnsi="Arial Narrow"/>
                <w:noProof/>
                <w:webHidden/>
              </w:rPr>
              <w:tab/>
            </w:r>
            <w:r w:rsidR="00552574" w:rsidRPr="005A242A">
              <w:rPr>
                <w:rFonts w:ascii="Arial Narrow" w:hAnsi="Arial Narrow"/>
                <w:noProof/>
                <w:webHidden/>
              </w:rPr>
              <w:fldChar w:fldCharType="begin"/>
            </w:r>
            <w:r w:rsidR="00552574" w:rsidRPr="005A242A">
              <w:rPr>
                <w:rFonts w:ascii="Arial Narrow" w:hAnsi="Arial Narrow"/>
                <w:noProof/>
                <w:webHidden/>
              </w:rPr>
              <w:instrText xml:space="preserve"> PAGEREF _Toc14293789 \h </w:instrText>
            </w:r>
            <w:r w:rsidR="00552574" w:rsidRPr="005A242A">
              <w:rPr>
                <w:rFonts w:ascii="Arial Narrow" w:hAnsi="Arial Narrow"/>
                <w:noProof/>
                <w:webHidden/>
              </w:rPr>
            </w:r>
            <w:r w:rsidR="00552574" w:rsidRPr="005A242A">
              <w:rPr>
                <w:rFonts w:ascii="Arial Narrow" w:hAnsi="Arial Narrow"/>
                <w:noProof/>
                <w:webHidden/>
              </w:rPr>
              <w:fldChar w:fldCharType="separate"/>
            </w:r>
            <w:r w:rsidR="00CE28A8">
              <w:rPr>
                <w:rFonts w:ascii="Arial Narrow" w:hAnsi="Arial Narrow"/>
                <w:noProof/>
                <w:webHidden/>
              </w:rPr>
              <w:t>116</w:t>
            </w:r>
            <w:r w:rsidR="00552574" w:rsidRPr="005A242A">
              <w:rPr>
                <w:rFonts w:ascii="Arial Narrow" w:hAnsi="Arial Narrow"/>
                <w:noProof/>
                <w:webHidden/>
              </w:rPr>
              <w:fldChar w:fldCharType="end"/>
            </w:r>
          </w:hyperlink>
        </w:p>
        <w:p w:rsidR="00552574" w:rsidRPr="005A242A" w:rsidRDefault="007C0694">
          <w:pPr>
            <w:pStyle w:val="TDC2"/>
            <w:tabs>
              <w:tab w:val="left" w:pos="880"/>
              <w:tab w:val="right" w:leader="dot" w:pos="8828"/>
            </w:tabs>
            <w:rPr>
              <w:rFonts w:ascii="Arial Narrow" w:hAnsi="Arial Narrow" w:cstheme="minorBidi"/>
              <w:noProof/>
            </w:rPr>
          </w:pPr>
          <w:hyperlink w:anchor="_Toc14293790" w:history="1">
            <w:r w:rsidR="00552574" w:rsidRPr="005A242A">
              <w:rPr>
                <w:rStyle w:val="Hipervnculo"/>
                <w:rFonts w:ascii="Arial Narrow" w:hAnsi="Arial Narrow"/>
                <w:b/>
                <w:noProof/>
              </w:rPr>
              <w:t>6.6</w:t>
            </w:r>
            <w:r w:rsidR="00552574" w:rsidRPr="005A242A">
              <w:rPr>
                <w:rFonts w:ascii="Arial Narrow" w:hAnsi="Arial Narrow" w:cstheme="minorBidi"/>
                <w:noProof/>
              </w:rPr>
              <w:tab/>
            </w:r>
            <w:r w:rsidR="00552574" w:rsidRPr="005A242A">
              <w:rPr>
                <w:rStyle w:val="Hipervnculo"/>
                <w:rFonts w:ascii="Arial Narrow" w:hAnsi="Arial Narrow"/>
                <w:b/>
                <w:noProof/>
              </w:rPr>
              <w:t xml:space="preserve">Análisis del </w:t>
            </w:r>
            <w:r w:rsidR="009D7771" w:rsidRPr="005A242A">
              <w:rPr>
                <w:rStyle w:val="Hipervnculo"/>
                <w:rFonts w:ascii="Arial Narrow" w:hAnsi="Arial Narrow"/>
                <w:b/>
                <w:noProof/>
              </w:rPr>
              <w:t>Artículo</w:t>
            </w:r>
            <w:r w:rsidR="00552574" w:rsidRPr="005A242A">
              <w:rPr>
                <w:rStyle w:val="Hipervnculo"/>
                <w:rFonts w:ascii="Arial Narrow" w:hAnsi="Arial Narrow"/>
                <w:b/>
                <w:noProof/>
              </w:rPr>
              <w:t xml:space="preserve"> 146</w:t>
            </w:r>
            <w:r w:rsidR="00552574" w:rsidRPr="005A242A">
              <w:rPr>
                <w:rFonts w:ascii="Arial Narrow" w:hAnsi="Arial Narrow"/>
                <w:noProof/>
                <w:webHidden/>
              </w:rPr>
              <w:tab/>
            </w:r>
            <w:r w:rsidR="00552574" w:rsidRPr="005A242A">
              <w:rPr>
                <w:rFonts w:ascii="Arial Narrow" w:hAnsi="Arial Narrow"/>
                <w:noProof/>
                <w:webHidden/>
              </w:rPr>
              <w:fldChar w:fldCharType="begin"/>
            </w:r>
            <w:r w:rsidR="00552574" w:rsidRPr="005A242A">
              <w:rPr>
                <w:rFonts w:ascii="Arial Narrow" w:hAnsi="Arial Narrow"/>
                <w:noProof/>
                <w:webHidden/>
              </w:rPr>
              <w:instrText xml:space="preserve"> PAGEREF _Toc14293790 \h </w:instrText>
            </w:r>
            <w:r w:rsidR="00552574" w:rsidRPr="005A242A">
              <w:rPr>
                <w:rFonts w:ascii="Arial Narrow" w:hAnsi="Arial Narrow"/>
                <w:noProof/>
                <w:webHidden/>
              </w:rPr>
            </w:r>
            <w:r w:rsidR="00552574" w:rsidRPr="005A242A">
              <w:rPr>
                <w:rFonts w:ascii="Arial Narrow" w:hAnsi="Arial Narrow"/>
                <w:noProof/>
                <w:webHidden/>
              </w:rPr>
              <w:fldChar w:fldCharType="separate"/>
            </w:r>
            <w:r w:rsidR="00CE28A8">
              <w:rPr>
                <w:rFonts w:ascii="Arial Narrow" w:hAnsi="Arial Narrow"/>
                <w:noProof/>
                <w:webHidden/>
              </w:rPr>
              <w:t>117</w:t>
            </w:r>
            <w:r w:rsidR="00552574" w:rsidRPr="005A242A">
              <w:rPr>
                <w:rFonts w:ascii="Arial Narrow" w:hAnsi="Arial Narrow"/>
                <w:noProof/>
                <w:webHidden/>
              </w:rPr>
              <w:fldChar w:fldCharType="end"/>
            </w:r>
          </w:hyperlink>
        </w:p>
        <w:p w:rsidR="00552574" w:rsidRPr="005A242A" w:rsidRDefault="007C0694">
          <w:pPr>
            <w:pStyle w:val="TDC2"/>
            <w:tabs>
              <w:tab w:val="left" w:pos="880"/>
              <w:tab w:val="right" w:leader="dot" w:pos="8828"/>
            </w:tabs>
            <w:rPr>
              <w:rFonts w:ascii="Arial Narrow" w:hAnsi="Arial Narrow" w:cstheme="minorBidi"/>
              <w:noProof/>
            </w:rPr>
          </w:pPr>
          <w:hyperlink w:anchor="_Toc14293791" w:history="1">
            <w:r w:rsidR="00552574" w:rsidRPr="005A242A">
              <w:rPr>
                <w:rStyle w:val="Hipervnculo"/>
                <w:rFonts w:ascii="Arial Narrow" w:hAnsi="Arial Narrow"/>
                <w:b/>
                <w:noProof/>
              </w:rPr>
              <w:t>6.7</w:t>
            </w:r>
            <w:r w:rsidR="00552574" w:rsidRPr="005A242A">
              <w:rPr>
                <w:rFonts w:ascii="Arial Narrow" w:hAnsi="Arial Narrow" w:cstheme="minorBidi"/>
                <w:noProof/>
              </w:rPr>
              <w:tab/>
            </w:r>
            <w:r w:rsidR="00552574" w:rsidRPr="005A242A">
              <w:rPr>
                <w:rStyle w:val="Hipervnculo"/>
                <w:rFonts w:ascii="Arial Narrow" w:hAnsi="Arial Narrow"/>
                <w:b/>
                <w:noProof/>
              </w:rPr>
              <w:t xml:space="preserve">Análisis del </w:t>
            </w:r>
            <w:r w:rsidR="009D7771" w:rsidRPr="005A242A">
              <w:rPr>
                <w:rStyle w:val="Hipervnculo"/>
                <w:rFonts w:ascii="Arial Narrow" w:hAnsi="Arial Narrow"/>
                <w:b/>
                <w:noProof/>
              </w:rPr>
              <w:t>Artículo</w:t>
            </w:r>
            <w:r w:rsidR="00552574" w:rsidRPr="005A242A">
              <w:rPr>
                <w:rStyle w:val="Hipervnculo"/>
                <w:rFonts w:ascii="Arial Narrow" w:hAnsi="Arial Narrow"/>
                <w:b/>
                <w:noProof/>
              </w:rPr>
              <w:t xml:space="preserve"> 147</w:t>
            </w:r>
            <w:r w:rsidR="00552574" w:rsidRPr="005A242A">
              <w:rPr>
                <w:rFonts w:ascii="Arial Narrow" w:hAnsi="Arial Narrow"/>
                <w:noProof/>
                <w:webHidden/>
              </w:rPr>
              <w:tab/>
            </w:r>
            <w:r w:rsidR="00552574" w:rsidRPr="005A242A">
              <w:rPr>
                <w:rFonts w:ascii="Arial Narrow" w:hAnsi="Arial Narrow"/>
                <w:noProof/>
                <w:webHidden/>
              </w:rPr>
              <w:fldChar w:fldCharType="begin"/>
            </w:r>
            <w:r w:rsidR="00552574" w:rsidRPr="005A242A">
              <w:rPr>
                <w:rFonts w:ascii="Arial Narrow" w:hAnsi="Arial Narrow"/>
                <w:noProof/>
                <w:webHidden/>
              </w:rPr>
              <w:instrText xml:space="preserve"> PAGEREF _Toc14293791 \h </w:instrText>
            </w:r>
            <w:r w:rsidR="00552574" w:rsidRPr="005A242A">
              <w:rPr>
                <w:rFonts w:ascii="Arial Narrow" w:hAnsi="Arial Narrow"/>
                <w:noProof/>
                <w:webHidden/>
              </w:rPr>
            </w:r>
            <w:r w:rsidR="00552574" w:rsidRPr="005A242A">
              <w:rPr>
                <w:rFonts w:ascii="Arial Narrow" w:hAnsi="Arial Narrow"/>
                <w:noProof/>
                <w:webHidden/>
              </w:rPr>
              <w:fldChar w:fldCharType="separate"/>
            </w:r>
            <w:r w:rsidR="00CE28A8">
              <w:rPr>
                <w:rFonts w:ascii="Arial Narrow" w:hAnsi="Arial Narrow"/>
                <w:noProof/>
                <w:webHidden/>
              </w:rPr>
              <w:t>118</w:t>
            </w:r>
            <w:r w:rsidR="00552574" w:rsidRPr="005A242A">
              <w:rPr>
                <w:rFonts w:ascii="Arial Narrow" w:hAnsi="Arial Narrow"/>
                <w:noProof/>
                <w:webHidden/>
              </w:rPr>
              <w:fldChar w:fldCharType="end"/>
            </w:r>
          </w:hyperlink>
        </w:p>
        <w:p w:rsidR="00552574" w:rsidRPr="005A242A" w:rsidRDefault="007C0694">
          <w:pPr>
            <w:pStyle w:val="TDC1"/>
            <w:tabs>
              <w:tab w:val="right" w:leader="dot" w:pos="8828"/>
            </w:tabs>
            <w:rPr>
              <w:rFonts w:ascii="Arial Narrow" w:hAnsi="Arial Narrow" w:cstheme="minorBidi"/>
              <w:noProof/>
            </w:rPr>
          </w:pPr>
          <w:hyperlink w:anchor="_Toc14293792" w:history="1">
            <w:r w:rsidR="00552574" w:rsidRPr="005A242A">
              <w:rPr>
                <w:rStyle w:val="Hipervnculo"/>
                <w:rFonts w:ascii="Arial Narrow" w:hAnsi="Arial Narrow"/>
                <w:b/>
                <w:noProof/>
              </w:rPr>
              <w:t>CONCLUSIONES</w:t>
            </w:r>
            <w:r w:rsidR="00552574" w:rsidRPr="005A242A">
              <w:rPr>
                <w:rFonts w:ascii="Arial Narrow" w:hAnsi="Arial Narrow"/>
                <w:noProof/>
                <w:webHidden/>
              </w:rPr>
              <w:tab/>
            </w:r>
            <w:r w:rsidR="00552574" w:rsidRPr="005A242A">
              <w:rPr>
                <w:rFonts w:ascii="Arial Narrow" w:hAnsi="Arial Narrow"/>
                <w:noProof/>
                <w:webHidden/>
              </w:rPr>
              <w:fldChar w:fldCharType="begin"/>
            </w:r>
            <w:r w:rsidR="00552574" w:rsidRPr="005A242A">
              <w:rPr>
                <w:rFonts w:ascii="Arial Narrow" w:hAnsi="Arial Narrow"/>
                <w:noProof/>
                <w:webHidden/>
              </w:rPr>
              <w:instrText xml:space="preserve"> PAGEREF _Toc14293792 \h </w:instrText>
            </w:r>
            <w:r w:rsidR="00552574" w:rsidRPr="005A242A">
              <w:rPr>
                <w:rFonts w:ascii="Arial Narrow" w:hAnsi="Arial Narrow"/>
                <w:noProof/>
                <w:webHidden/>
              </w:rPr>
            </w:r>
            <w:r w:rsidR="00552574" w:rsidRPr="005A242A">
              <w:rPr>
                <w:rFonts w:ascii="Arial Narrow" w:hAnsi="Arial Narrow"/>
                <w:noProof/>
                <w:webHidden/>
              </w:rPr>
              <w:fldChar w:fldCharType="separate"/>
            </w:r>
            <w:r w:rsidR="00CE28A8">
              <w:rPr>
                <w:rFonts w:ascii="Arial Narrow" w:hAnsi="Arial Narrow"/>
                <w:noProof/>
                <w:webHidden/>
              </w:rPr>
              <w:t>120</w:t>
            </w:r>
            <w:r w:rsidR="00552574" w:rsidRPr="005A242A">
              <w:rPr>
                <w:rFonts w:ascii="Arial Narrow" w:hAnsi="Arial Narrow"/>
                <w:noProof/>
                <w:webHidden/>
              </w:rPr>
              <w:fldChar w:fldCharType="end"/>
            </w:r>
          </w:hyperlink>
        </w:p>
        <w:p w:rsidR="00552574" w:rsidRDefault="00552574">
          <w:r w:rsidRPr="005A242A">
            <w:rPr>
              <w:b/>
              <w:bCs/>
              <w:lang w:val="es-ES"/>
            </w:rPr>
            <w:fldChar w:fldCharType="end"/>
          </w:r>
        </w:p>
      </w:sdtContent>
    </w:sdt>
    <w:p w:rsidR="00AF69FA" w:rsidRPr="00CD728B" w:rsidRDefault="00AF69FA" w:rsidP="002E7D47">
      <w:pPr>
        <w:contextualSpacing/>
        <w:rPr>
          <w:rFonts w:ascii="Arial Narrow" w:hAnsi="Arial Narrow"/>
          <w:b/>
          <w:sz w:val="24"/>
          <w:szCs w:val="24"/>
        </w:rPr>
      </w:pPr>
      <w:r w:rsidRPr="00CD728B">
        <w:rPr>
          <w:rFonts w:ascii="Arial Narrow" w:hAnsi="Arial Narrow"/>
          <w:b/>
          <w:sz w:val="24"/>
          <w:szCs w:val="24"/>
        </w:rPr>
        <w:br w:type="page"/>
      </w:r>
    </w:p>
    <w:p w:rsidR="005A0F6E" w:rsidRPr="00552574" w:rsidRDefault="005A0F6E" w:rsidP="00552574">
      <w:pPr>
        <w:pStyle w:val="Ttulo1"/>
        <w:rPr>
          <w:rFonts w:ascii="Arial Narrow" w:hAnsi="Arial Narrow"/>
          <w:b/>
          <w:color w:val="auto"/>
          <w:sz w:val="24"/>
        </w:rPr>
      </w:pPr>
      <w:bookmarkStart w:id="3" w:name="_Toc13068673"/>
      <w:bookmarkStart w:id="4" w:name="_Toc14293705"/>
      <w:r w:rsidRPr="00552574">
        <w:rPr>
          <w:rFonts w:ascii="Arial Narrow" w:hAnsi="Arial Narrow"/>
          <w:b/>
          <w:color w:val="auto"/>
          <w:sz w:val="24"/>
        </w:rPr>
        <w:lastRenderedPageBreak/>
        <w:t>INTRODUCCIÓN</w:t>
      </w:r>
      <w:bookmarkEnd w:id="3"/>
      <w:bookmarkEnd w:id="4"/>
      <w:r w:rsidRPr="00552574">
        <w:rPr>
          <w:rFonts w:ascii="Arial Narrow" w:hAnsi="Arial Narrow"/>
          <w:b/>
          <w:color w:val="auto"/>
          <w:sz w:val="24"/>
        </w:rPr>
        <w:t xml:space="preserve"> </w:t>
      </w:r>
    </w:p>
    <w:p w:rsidR="005A0F6E" w:rsidRPr="00CD728B" w:rsidRDefault="005A0F6E" w:rsidP="002E7D47">
      <w:pPr>
        <w:autoSpaceDE w:val="0"/>
        <w:autoSpaceDN w:val="0"/>
        <w:adjustRightInd w:val="0"/>
        <w:spacing w:after="0" w:line="360" w:lineRule="auto"/>
        <w:contextualSpacing/>
        <w:jc w:val="both"/>
        <w:rPr>
          <w:rFonts w:ascii="Arial Narrow" w:hAnsi="Arial Narrow"/>
          <w:sz w:val="24"/>
          <w:szCs w:val="24"/>
        </w:rPr>
      </w:pPr>
    </w:p>
    <w:p w:rsidR="005A0F6E" w:rsidRPr="00CD728B" w:rsidRDefault="005A0F6E" w:rsidP="002E7D47">
      <w:pPr>
        <w:autoSpaceDE w:val="0"/>
        <w:autoSpaceDN w:val="0"/>
        <w:adjustRightInd w:val="0"/>
        <w:spacing w:after="0" w:line="360" w:lineRule="auto"/>
        <w:contextualSpacing/>
        <w:jc w:val="both"/>
        <w:rPr>
          <w:rFonts w:ascii="Arial Narrow" w:hAnsi="Arial Narrow" w:cs="Arial"/>
          <w:sz w:val="24"/>
          <w:szCs w:val="24"/>
        </w:rPr>
      </w:pPr>
      <w:r w:rsidRPr="00CD728B">
        <w:rPr>
          <w:rFonts w:ascii="Arial Narrow" w:hAnsi="Arial Narrow"/>
          <w:sz w:val="24"/>
          <w:szCs w:val="24"/>
        </w:rPr>
        <w:t xml:space="preserve">La Dirección de Estado Abierto, Estudios y Evaluación (DEAEE), de conformidad con el </w:t>
      </w:r>
      <w:r w:rsidR="009D7771">
        <w:rPr>
          <w:rFonts w:ascii="Arial Narrow" w:hAnsi="Arial Narrow"/>
          <w:sz w:val="24"/>
          <w:szCs w:val="24"/>
        </w:rPr>
        <w:t>Artículo</w:t>
      </w:r>
      <w:r w:rsidRPr="00CD728B">
        <w:rPr>
          <w:rFonts w:ascii="Arial Narrow" w:hAnsi="Arial Narrow"/>
          <w:sz w:val="24"/>
          <w:szCs w:val="24"/>
        </w:rPr>
        <w:t xml:space="preserve"> 154 de la Ley de Transparencia, Acceso a la Información Pública y Rendición de Cuentas de la Ciudad de México (Ley de Transparencia); así como de las </w:t>
      </w:r>
      <w:r w:rsidRPr="00CD728B">
        <w:rPr>
          <w:rFonts w:ascii="Arial Narrow" w:hAnsi="Arial Narrow" w:cs="Arial"/>
          <w:sz w:val="24"/>
          <w:szCs w:val="24"/>
        </w:rPr>
        <w:t xml:space="preserve">atribuciones conferidas en los numerales XI y XII del </w:t>
      </w:r>
      <w:r w:rsidR="009D7771">
        <w:rPr>
          <w:rFonts w:ascii="Arial Narrow" w:hAnsi="Arial Narrow" w:cs="Arial"/>
          <w:sz w:val="24"/>
          <w:szCs w:val="24"/>
        </w:rPr>
        <w:t>Artículo</w:t>
      </w:r>
      <w:r w:rsidRPr="00CD728B">
        <w:rPr>
          <w:rFonts w:ascii="Arial Narrow" w:hAnsi="Arial Narrow" w:cs="Arial"/>
          <w:sz w:val="24"/>
          <w:szCs w:val="24"/>
        </w:rPr>
        <w:t xml:space="preserve"> 22 del </w:t>
      </w:r>
      <w:r w:rsidRPr="00CD728B">
        <w:rPr>
          <w:rFonts w:ascii="Arial Narrow" w:hAnsi="Arial Narrow" w:cs="Arial"/>
        </w:rPr>
        <w:t>Reglamento Interior del Instituto de Transparencia, Acceso a la Información Pública, Protección de Datos Personales y Rendición de Cuentas de la Ciudad de México (Reglamento Interior)</w:t>
      </w:r>
      <w:r w:rsidRPr="00CD728B">
        <w:rPr>
          <w:rFonts w:ascii="Arial Narrow" w:hAnsi="Arial Narrow" w:cs="Arial"/>
          <w:sz w:val="24"/>
          <w:szCs w:val="24"/>
        </w:rPr>
        <w:t>, realizó en el periodo enero-junio del año en curso la Primera Evaluación Vinculante 2019 con 146 Sujetos Obligados, agrupados por ámbito de gobierno, los cuales al 31 de diciembre de 2018 conformaban el Padrón de Sujetos Obligados supeditados al cumplimiento de la Ley de Transparencia</w:t>
      </w:r>
      <w:r w:rsidRPr="00CD728B" w:rsidDel="005B5D1B">
        <w:rPr>
          <w:rFonts w:ascii="Arial Narrow" w:hAnsi="Arial Narrow" w:cs="Arial"/>
          <w:sz w:val="24"/>
          <w:szCs w:val="24"/>
        </w:rPr>
        <w:t xml:space="preserve"> </w:t>
      </w:r>
      <w:r w:rsidRPr="00CD728B">
        <w:rPr>
          <w:rFonts w:ascii="Arial Narrow" w:hAnsi="Arial Narrow" w:cs="Arial"/>
          <w:sz w:val="24"/>
          <w:szCs w:val="24"/>
        </w:rPr>
        <w:t>y la Ley de Protección de Datos Personales en Posesión de los Sujetos Obligados de la Ciudad de México (Padrón).</w:t>
      </w:r>
    </w:p>
    <w:p w:rsidR="005A0F6E" w:rsidRPr="00CD728B" w:rsidRDefault="005A0F6E" w:rsidP="002E7D47">
      <w:pPr>
        <w:autoSpaceDE w:val="0"/>
        <w:autoSpaceDN w:val="0"/>
        <w:adjustRightInd w:val="0"/>
        <w:spacing w:after="0" w:line="360" w:lineRule="auto"/>
        <w:contextualSpacing/>
        <w:jc w:val="both"/>
        <w:rPr>
          <w:rFonts w:ascii="Arial Narrow" w:hAnsi="Arial Narrow" w:cs="Arial"/>
          <w:sz w:val="24"/>
          <w:szCs w:val="24"/>
        </w:rPr>
      </w:pPr>
    </w:p>
    <w:p w:rsidR="005A0F6E" w:rsidRPr="00CD728B" w:rsidRDefault="005A0F6E" w:rsidP="002E7D47">
      <w:pPr>
        <w:autoSpaceDE w:val="0"/>
        <w:autoSpaceDN w:val="0"/>
        <w:adjustRightInd w:val="0"/>
        <w:spacing w:after="0" w:line="360" w:lineRule="auto"/>
        <w:contextualSpacing/>
        <w:jc w:val="both"/>
        <w:rPr>
          <w:rFonts w:ascii="Arial Narrow" w:hAnsi="Arial Narrow" w:cs="Arial"/>
          <w:sz w:val="24"/>
          <w:szCs w:val="24"/>
        </w:rPr>
      </w:pPr>
      <w:r w:rsidRPr="00CD728B">
        <w:rPr>
          <w:rFonts w:ascii="Arial Narrow" w:hAnsi="Arial Narrow" w:cs="Arial"/>
          <w:sz w:val="24"/>
          <w:szCs w:val="24"/>
        </w:rPr>
        <w:t>En esta evaluación se verificó que la información publicada en la Plataforma Nacional de Transparencia (PNT) y en los portales de Internet de los Sujetos Obligados, estuviera completa y actualizada al ejercicio 2018, así como que se conservara en ambas plataformas la información correspondiente a los ejercicios anteriores, de conformidad con la tabla de actualización y conservación de la información, incluida en los Lineamientos y Metodología de Evaluación de las Obligaciones de Transparencia que deben publicar en sus Portales de Internet y en la PNT los Sujetos Obligados de la Ciudad de México (Lineamientos).</w:t>
      </w:r>
    </w:p>
    <w:p w:rsidR="005A0F6E" w:rsidRPr="00CD728B" w:rsidRDefault="005A0F6E" w:rsidP="002E7D47">
      <w:pPr>
        <w:autoSpaceDE w:val="0"/>
        <w:autoSpaceDN w:val="0"/>
        <w:adjustRightInd w:val="0"/>
        <w:spacing w:after="0" w:line="360" w:lineRule="auto"/>
        <w:contextualSpacing/>
        <w:jc w:val="both"/>
        <w:rPr>
          <w:rFonts w:ascii="Arial Narrow" w:hAnsi="Arial Narrow" w:cs="Arial"/>
          <w:sz w:val="24"/>
          <w:szCs w:val="24"/>
        </w:rPr>
      </w:pPr>
    </w:p>
    <w:p w:rsidR="005A0F6E" w:rsidRPr="00CD728B" w:rsidRDefault="005A0F6E" w:rsidP="002E7D47">
      <w:pPr>
        <w:autoSpaceDE w:val="0"/>
        <w:autoSpaceDN w:val="0"/>
        <w:adjustRightInd w:val="0"/>
        <w:spacing w:after="0" w:line="360" w:lineRule="auto"/>
        <w:contextualSpacing/>
        <w:jc w:val="both"/>
        <w:rPr>
          <w:rFonts w:ascii="Arial Narrow" w:hAnsi="Arial Narrow" w:cs="Arial"/>
          <w:sz w:val="24"/>
          <w:szCs w:val="24"/>
        </w:rPr>
      </w:pPr>
      <w:r w:rsidRPr="00CD728B">
        <w:rPr>
          <w:rFonts w:ascii="Arial Narrow" w:eastAsia="Times New Roman" w:hAnsi="Arial Narrow" w:cs="Arial"/>
          <w:sz w:val="24"/>
          <w:szCs w:val="24"/>
          <w:lang w:val="es-ES" w:eastAsia="es-ES"/>
        </w:rPr>
        <w:t xml:space="preserve">A través de los resultados de la evaluación </w:t>
      </w:r>
      <w:r w:rsidRPr="00CD728B">
        <w:rPr>
          <w:rFonts w:ascii="Arial Narrow" w:hAnsi="Arial Narrow" w:cs="Arial"/>
          <w:sz w:val="24"/>
          <w:szCs w:val="24"/>
        </w:rPr>
        <w:t>se generó el Índice General de Cumplimiento de Obligaciones de Transparencia (IGOT) de los Sujetos Obligados, el cual contiene el resultado numérico de la evaluación correspondiente. Dicho índice se construye por la sumatoria del Índice de Cumplimiento de Obligaciones de Transparencia del Portal de Internet (</w:t>
      </w:r>
      <w:r w:rsidR="00623A69">
        <w:rPr>
          <w:rFonts w:ascii="Arial Narrow" w:hAnsi="Arial Narrow" w:cs="Arial"/>
          <w:sz w:val="24"/>
          <w:szCs w:val="24"/>
        </w:rPr>
        <w:t>ICOT-PT</w:t>
      </w:r>
      <w:r w:rsidRPr="00CD728B">
        <w:rPr>
          <w:rFonts w:ascii="Arial Narrow" w:hAnsi="Arial Narrow" w:cs="Arial"/>
          <w:sz w:val="24"/>
          <w:szCs w:val="24"/>
        </w:rPr>
        <w:t xml:space="preserve">) y el de la PNT (ICOT-PNT). En específico, tanto el </w:t>
      </w:r>
      <w:r w:rsidR="00623A69">
        <w:rPr>
          <w:rFonts w:ascii="Arial Narrow" w:hAnsi="Arial Narrow" w:cs="Arial"/>
          <w:sz w:val="24"/>
          <w:szCs w:val="24"/>
        </w:rPr>
        <w:t>ICOT-PT</w:t>
      </w:r>
      <w:r w:rsidRPr="00CD728B">
        <w:rPr>
          <w:rFonts w:ascii="Arial Narrow" w:hAnsi="Arial Narrow" w:cs="Arial"/>
          <w:sz w:val="24"/>
          <w:szCs w:val="24"/>
        </w:rPr>
        <w:t xml:space="preserve"> como el ICOT-PNT se integran con los resultados de la evaluación del cumplimiento de las obligaciones comunes consistentes en los </w:t>
      </w:r>
      <w:r w:rsidR="009D7771">
        <w:rPr>
          <w:rFonts w:ascii="Arial Narrow" w:hAnsi="Arial Narrow" w:cs="Arial"/>
          <w:sz w:val="24"/>
          <w:szCs w:val="24"/>
        </w:rPr>
        <w:t>Artículo</w:t>
      </w:r>
      <w:r w:rsidRPr="00CD728B">
        <w:rPr>
          <w:rFonts w:ascii="Arial Narrow" w:hAnsi="Arial Narrow" w:cs="Arial"/>
          <w:sz w:val="24"/>
          <w:szCs w:val="24"/>
        </w:rPr>
        <w:t xml:space="preserve">s 121 y 122; las </w:t>
      </w:r>
      <w:r w:rsidRPr="00CD728B">
        <w:rPr>
          <w:rFonts w:ascii="Arial Narrow" w:hAnsi="Arial Narrow" w:cs="Arial"/>
          <w:sz w:val="24"/>
          <w:szCs w:val="24"/>
        </w:rPr>
        <w:lastRenderedPageBreak/>
        <w:t xml:space="preserve">obligaciones específicas consistentes en los </w:t>
      </w:r>
      <w:r w:rsidR="009D7771">
        <w:rPr>
          <w:rFonts w:ascii="Arial Narrow" w:hAnsi="Arial Narrow" w:cs="Arial"/>
          <w:sz w:val="24"/>
          <w:szCs w:val="24"/>
        </w:rPr>
        <w:t>Artículo</w:t>
      </w:r>
      <w:r w:rsidRPr="00CD728B">
        <w:rPr>
          <w:rFonts w:ascii="Arial Narrow" w:hAnsi="Arial Narrow" w:cs="Arial"/>
          <w:sz w:val="24"/>
          <w:szCs w:val="24"/>
        </w:rPr>
        <w:t xml:space="preserve">s 123 al 140, y las disposiciones particulares contempladas en los </w:t>
      </w:r>
      <w:r w:rsidR="009D7771">
        <w:rPr>
          <w:rFonts w:ascii="Arial Narrow" w:hAnsi="Arial Narrow" w:cs="Arial"/>
          <w:sz w:val="24"/>
          <w:szCs w:val="24"/>
        </w:rPr>
        <w:t>Artículo</w:t>
      </w:r>
      <w:r w:rsidRPr="00CD728B">
        <w:rPr>
          <w:rFonts w:ascii="Arial Narrow" w:hAnsi="Arial Narrow" w:cs="Arial"/>
          <w:sz w:val="24"/>
          <w:szCs w:val="24"/>
        </w:rPr>
        <w:t xml:space="preserve">s 141 al 147; todos </w:t>
      </w:r>
      <w:r w:rsidR="009D7771">
        <w:rPr>
          <w:rFonts w:ascii="Arial Narrow" w:hAnsi="Arial Narrow" w:cs="Arial"/>
          <w:sz w:val="24"/>
          <w:szCs w:val="24"/>
        </w:rPr>
        <w:t>Artículo</w:t>
      </w:r>
      <w:r w:rsidRPr="00CD728B">
        <w:rPr>
          <w:rFonts w:ascii="Arial Narrow" w:hAnsi="Arial Narrow" w:cs="Arial"/>
          <w:sz w:val="24"/>
          <w:szCs w:val="24"/>
        </w:rPr>
        <w:t>s de las Ley de Transparencia, Acceso a la Información Pública, y Rendición de Cuentas de la Ciudad de México (Ley de Transparencia Local)</w:t>
      </w:r>
    </w:p>
    <w:p w:rsidR="005A0F6E" w:rsidRPr="00CD728B" w:rsidRDefault="005A0F6E" w:rsidP="002E7D47">
      <w:pPr>
        <w:autoSpaceDE w:val="0"/>
        <w:autoSpaceDN w:val="0"/>
        <w:adjustRightInd w:val="0"/>
        <w:spacing w:after="0" w:line="360" w:lineRule="auto"/>
        <w:contextualSpacing/>
        <w:jc w:val="both"/>
        <w:rPr>
          <w:rFonts w:ascii="Arial Narrow" w:hAnsi="Arial Narrow" w:cs="Arial"/>
          <w:sz w:val="24"/>
          <w:szCs w:val="24"/>
        </w:rPr>
      </w:pPr>
    </w:p>
    <w:p w:rsidR="005A0F6E" w:rsidRPr="00CD728B" w:rsidRDefault="005A0F6E" w:rsidP="002E7D47">
      <w:pPr>
        <w:autoSpaceDE w:val="0"/>
        <w:autoSpaceDN w:val="0"/>
        <w:adjustRightInd w:val="0"/>
        <w:spacing w:after="0" w:line="360" w:lineRule="auto"/>
        <w:contextualSpacing/>
        <w:jc w:val="both"/>
        <w:rPr>
          <w:rFonts w:ascii="Arial Narrow" w:hAnsi="Arial Narrow" w:cs="Arial"/>
          <w:sz w:val="24"/>
          <w:szCs w:val="24"/>
        </w:rPr>
      </w:pPr>
      <w:r w:rsidRPr="00CD728B">
        <w:rPr>
          <w:rFonts w:ascii="Arial Narrow" w:hAnsi="Arial Narrow" w:cs="Arial"/>
          <w:sz w:val="24"/>
          <w:szCs w:val="24"/>
        </w:rPr>
        <w:t xml:space="preserve">De conformidad con los Lineamientos, el valor de cada uno de estos índices corresponde al 50% del IGOT. Los </w:t>
      </w:r>
      <w:r w:rsidR="009D7771">
        <w:rPr>
          <w:rFonts w:ascii="Arial Narrow" w:hAnsi="Arial Narrow" w:cs="Arial"/>
          <w:sz w:val="24"/>
          <w:szCs w:val="24"/>
        </w:rPr>
        <w:t>Artículo</w:t>
      </w:r>
      <w:r w:rsidRPr="00CD728B">
        <w:rPr>
          <w:rFonts w:ascii="Arial Narrow" w:hAnsi="Arial Narrow" w:cs="Arial"/>
          <w:sz w:val="24"/>
          <w:szCs w:val="24"/>
        </w:rPr>
        <w:t xml:space="preserve">s correspondientes a las obligaciones de transparencia comunes tienen un valor de 60% del total del </w:t>
      </w:r>
      <w:r w:rsidR="00623A69">
        <w:rPr>
          <w:rFonts w:ascii="Arial Narrow" w:hAnsi="Arial Narrow" w:cs="Arial"/>
          <w:sz w:val="24"/>
          <w:szCs w:val="24"/>
        </w:rPr>
        <w:t>ICOT-PT</w:t>
      </w:r>
      <w:r w:rsidRPr="00CD728B">
        <w:rPr>
          <w:rFonts w:ascii="Arial Narrow" w:hAnsi="Arial Narrow" w:cs="Arial"/>
          <w:sz w:val="24"/>
          <w:szCs w:val="24"/>
        </w:rPr>
        <w:t xml:space="preserve"> y ICOT-PNT respectivamente. Los </w:t>
      </w:r>
      <w:r w:rsidR="009D7771">
        <w:rPr>
          <w:rFonts w:ascii="Arial Narrow" w:hAnsi="Arial Narrow" w:cs="Arial"/>
          <w:sz w:val="24"/>
          <w:szCs w:val="24"/>
        </w:rPr>
        <w:t>Artículo</w:t>
      </w:r>
      <w:r w:rsidRPr="00CD728B">
        <w:rPr>
          <w:rFonts w:ascii="Arial Narrow" w:hAnsi="Arial Narrow" w:cs="Arial"/>
          <w:sz w:val="24"/>
          <w:szCs w:val="24"/>
        </w:rPr>
        <w:t xml:space="preserve">s que hacen referencia a las obligaciones específicas de cada Sujeto Obligado tienen un valor de 20% del total de cada uno de estos índices, y las disposiciones particulares establecidas en los </w:t>
      </w:r>
      <w:r w:rsidR="009D7771">
        <w:rPr>
          <w:rFonts w:ascii="Arial Narrow" w:hAnsi="Arial Narrow" w:cs="Arial"/>
          <w:sz w:val="24"/>
          <w:szCs w:val="24"/>
        </w:rPr>
        <w:t>Artículo</w:t>
      </w:r>
      <w:r w:rsidRPr="00CD728B">
        <w:rPr>
          <w:rFonts w:ascii="Arial Narrow" w:hAnsi="Arial Narrow" w:cs="Arial"/>
          <w:sz w:val="24"/>
          <w:szCs w:val="24"/>
        </w:rPr>
        <w:t xml:space="preserve">s 143, 145, 146 y 147 tienen una ponderación del 5% respecto de cada una de estas herramientas metodológicas. </w:t>
      </w:r>
    </w:p>
    <w:p w:rsidR="005A0F6E" w:rsidRPr="00CD728B" w:rsidRDefault="005A0F6E" w:rsidP="002E7D47">
      <w:pPr>
        <w:autoSpaceDE w:val="0"/>
        <w:autoSpaceDN w:val="0"/>
        <w:adjustRightInd w:val="0"/>
        <w:spacing w:after="0" w:line="360" w:lineRule="auto"/>
        <w:contextualSpacing/>
        <w:jc w:val="both"/>
        <w:rPr>
          <w:rFonts w:ascii="Arial Narrow" w:hAnsi="Arial Narrow" w:cs="Arial"/>
          <w:sz w:val="24"/>
          <w:szCs w:val="24"/>
        </w:rPr>
      </w:pPr>
    </w:p>
    <w:p w:rsidR="005A0F6E" w:rsidRPr="00CD728B" w:rsidRDefault="005A0F6E" w:rsidP="002E7D47">
      <w:pPr>
        <w:autoSpaceDE w:val="0"/>
        <w:autoSpaceDN w:val="0"/>
        <w:adjustRightInd w:val="0"/>
        <w:spacing w:after="0" w:line="360" w:lineRule="auto"/>
        <w:contextualSpacing/>
        <w:jc w:val="both"/>
        <w:rPr>
          <w:rFonts w:ascii="Arial Narrow" w:hAnsi="Arial Narrow" w:cs="Arial"/>
          <w:sz w:val="24"/>
          <w:szCs w:val="24"/>
        </w:rPr>
      </w:pPr>
      <w:r w:rsidRPr="00CD728B">
        <w:rPr>
          <w:rFonts w:ascii="Arial Narrow" w:hAnsi="Arial Narrow" w:cs="Arial"/>
          <w:sz w:val="24"/>
          <w:szCs w:val="24"/>
        </w:rPr>
        <w:t xml:space="preserve">En esta línea, la evaluación consistió en verificar el cumplimiento de la publicación de la información a través del cálculo inicial de 81 índices simples: 21 de criterios sustantivos de contenido, 20 de criterios adjetivos de actualización, 20 de criterios de confiabilidad y 20 de criterios adjetivos de formato, tanto en el PI como en la PNT. </w:t>
      </w:r>
    </w:p>
    <w:p w:rsidR="005A0F6E" w:rsidRPr="00CD728B" w:rsidRDefault="005A0F6E" w:rsidP="002E7D47">
      <w:pPr>
        <w:autoSpaceDE w:val="0"/>
        <w:autoSpaceDN w:val="0"/>
        <w:adjustRightInd w:val="0"/>
        <w:spacing w:after="0" w:line="360" w:lineRule="auto"/>
        <w:contextualSpacing/>
        <w:jc w:val="both"/>
        <w:rPr>
          <w:rFonts w:ascii="Arial Narrow" w:hAnsi="Arial Narrow" w:cs="Arial"/>
          <w:sz w:val="24"/>
          <w:szCs w:val="24"/>
        </w:rPr>
      </w:pPr>
    </w:p>
    <w:p w:rsidR="005A0F6E" w:rsidRPr="00CD728B" w:rsidRDefault="005A0F6E" w:rsidP="002E7D47">
      <w:pPr>
        <w:autoSpaceDE w:val="0"/>
        <w:autoSpaceDN w:val="0"/>
        <w:adjustRightInd w:val="0"/>
        <w:spacing w:after="0" w:line="360" w:lineRule="auto"/>
        <w:contextualSpacing/>
        <w:jc w:val="both"/>
        <w:rPr>
          <w:rFonts w:ascii="Arial Narrow" w:hAnsi="Arial Narrow" w:cs="Arial"/>
          <w:sz w:val="24"/>
          <w:szCs w:val="24"/>
        </w:rPr>
      </w:pPr>
      <w:r w:rsidRPr="00CD728B">
        <w:rPr>
          <w:rFonts w:ascii="Arial Narrow" w:hAnsi="Arial Narrow" w:cs="Arial"/>
          <w:sz w:val="24"/>
          <w:szCs w:val="24"/>
        </w:rPr>
        <w:t>Los criterios sustantivos de contenido son aquellos relacionados con la existencia de la información; los criterios adjetivos de actualización establecen que la información publicada cumpla con los periodos de actualización y conservación; los criterios adjetivos de confiabilidad son aquellos que permiten identificar la fecha en que se actualizó por última vez la información, la fecha de validación y el área que generó la misma. Por último, los criterios adjetivos de formato determinan las características mínimas con las que debe ser organizada, sistematizada y publicada la información, permitiendo su reutilización.</w:t>
      </w:r>
    </w:p>
    <w:p w:rsidR="005A0F6E" w:rsidRPr="00CD728B" w:rsidRDefault="005A0F6E" w:rsidP="002E7D47">
      <w:pPr>
        <w:autoSpaceDE w:val="0"/>
        <w:autoSpaceDN w:val="0"/>
        <w:adjustRightInd w:val="0"/>
        <w:spacing w:after="0" w:line="360" w:lineRule="auto"/>
        <w:contextualSpacing/>
        <w:jc w:val="both"/>
        <w:rPr>
          <w:rFonts w:ascii="Arial Narrow" w:hAnsi="Arial Narrow" w:cs="Arial"/>
          <w:sz w:val="24"/>
          <w:szCs w:val="24"/>
        </w:rPr>
      </w:pPr>
    </w:p>
    <w:p w:rsidR="005A0F6E" w:rsidRPr="00CD728B" w:rsidRDefault="005A0F6E" w:rsidP="002E7D47">
      <w:pPr>
        <w:autoSpaceDE w:val="0"/>
        <w:autoSpaceDN w:val="0"/>
        <w:adjustRightInd w:val="0"/>
        <w:spacing w:after="0" w:line="360" w:lineRule="auto"/>
        <w:contextualSpacing/>
        <w:jc w:val="both"/>
        <w:rPr>
          <w:rFonts w:ascii="Arial Narrow" w:hAnsi="Arial Narrow" w:cs="Arial"/>
          <w:sz w:val="24"/>
          <w:szCs w:val="24"/>
        </w:rPr>
      </w:pPr>
      <w:r w:rsidRPr="00CD728B">
        <w:rPr>
          <w:rFonts w:ascii="Arial Narrow" w:hAnsi="Arial Narrow" w:cs="Arial"/>
          <w:sz w:val="24"/>
          <w:szCs w:val="24"/>
        </w:rPr>
        <w:t xml:space="preserve">Es importante precisar que por su diseño, el IGOT asume valores en el rango de 0 a 100, escala en la que el valor mínimo representa un incumplimiento total de las obligaciones; valores superiores a 0 y hasta 59.99, representan un grado parcial de incumplimiento; valores de 60 a 99.99 representan un </w:t>
      </w:r>
      <w:r w:rsidRPr="00CD728B">
        <w:rPr>
          <w:rFonts w:ascii="Arial Narrow" w:hAnsi="Arial Narrow" w:cs="Arial"/>
          <w:sz w:val="24"/>
          <w:szCs w:val="24"/>
        </w:rPr>
        <w:lastRenderedPageBreak/>
        <w:t xml:space="preserve">cumplimiento parcial; en tanto que 100 representa el cabal cumplimiento de las obligaciones previstas por la Ley de Transparencia. </w:t>
      </w:r>
    </w:p>
    <w:p w:rsidR="005A0F6E" w:rsidRPr="00CD728B" w:rsidRDefault="005A0F6E" w:rsidP="002E7D47">
      <w:pPr>
        <w:autoSpaceDE w:val="0"/>
        <w:autoSpaceDN w:val="0"/>
        <w:adjustRightInd w:val="0"/>
        <w:spacing w:after="0" w:line="360" w:lineRule="auto"/>
        <w:contextualSpacing/>
        <w:jc w:val="both"/>
        <w:rPr>
          <w:rFonts w:ascii="Arial Narrow" w:hAnsi="Arial Narrow" w:cs="Arial"/>
          <w:sz w:val="24"/>
          <w:szCs w:val="24"/>
        </w:rPr>
      </w:pPr>
    </w:p>
    <w:p w:rsidR="005A0F6E" w:rsidRPr="00CD728B" w:rsidRDefault="005A0F6E" w:rsidP="002E7D47">
      <w:pPr>
        <w:autoSpaceDE w:val="0"/>
        <w:autoSpaceDN w:val="0"/>
        <w:adjustRightInd w:val="0"/>
        <w:spacing w:after="0" w:line="360" w:lineRule="auto"/>
        <w:contextualSpacing/>
        <w:jc w:val="both"/>
        <w:rPr>
          <w:rFonts w:ascii="Arial Narrow" w:hAnsi="Arial Narrow" w:cs="Arial"/>
          <w:sz w:val="24"/>
          <w:szCs w:val="24"/>
        </w:rPr>
      </w:pPr>
      <w:r w:rsidRPr="00CD728B">
        <w:rPr>
          <w:rFonts w:ascii="Arial Narrow" w:hAnsi="Arial Narrow" w:cs="Arial"/>
          <w:sz w:val="24"/>
          <w:szCs w:val="24"/>
        </w:rPr>
        <w:t xml:space="preserve">Con el objetivo de generar un documento que proporcione de forma sencilla los resultados obtenidos, la DEAEE decidió realizar un informe respecto de la Primera Evaluación Vinculante 2019; dividida por ámbitos de gobierno; con la finalidad de indicar cuáles fueron los </w:t>
      </w:r>
      <w:r w:rsidR="009D7771">
        <w:rPr>
          <w:rFonts w:ascii="Arial Narrow" w:hAnsi="Arial Narrow" w:cs="Arial"/>
          <w:sz w:val="24"/>
          <w:szCs w:val="24"/>
        </w:rPr>
        <w:t>Artículo</w:t>
      </w:r>
      <w:r w:rsidRPr="00CD728B">
        <w:rPr>
          <w:rFonts w:ascii="Arial Narrow" w:hAnsi="Arial Narrow" w:cs="Arial"/>
          <w:sz w:val="24"/>
          <w:szCs w:val="24"/>
        </w:rPr>
        <w:t>s y fracciones en los que cumplen con los señalado en la Ley; así como cuál información es la que los Sujetos Obligados no están publicando, actualizando, o en el caso de sí publicarla presente áreas de oportunidad y mejora.</w:t>
      </w:r>
    </w:p>
    <w:p w:rsidR="005A0F6E" w:rsidRPr="00CD728B" w:rsidRDefault="005A0F6E" w:rsidP="002E7D47">
      <w:pPr>
        <w:contextualSpacing/>
        <w:rPr>
          <w:rFonts w:ascii="Arial Narrow" w:hAnsi="Arial Narrow" w:cs="Arial"/>
          <w:sz w:val="24"/>
          <w:szCs w:val="24"/>
        </w:rPr>
      </w:pPr>
      <w:r w:rsidRPr="00CD728B">
        <w:rPr>
          <w:rFonts w:ascii="Arial Narrow" w:hAnsi="Arial Narrow" w:cs="Arial"/>
          <w:sz w:val="24"/>
          <w:szCs w:val="24"/>
        </w:rPr>
        <w:br w:type="page"/>
      </w:r>
    </w:p>
    <w:p w:rsidR="005A0F6E" w:rsidRPr="00CD728B" w:rsidRDefault="005A0F6E" w:rsidP="002E7D47">
      <w:pPr>
        <w:pStyle w:val="Ttulo1"/>
        <w:contextualSpacing/>
        <w:jc w:val="center"/>
        <w:rPr>
          <w:rFonts w:ascii="Arial Narrow" w:hAnsi="Arial Narrow"/>
          <w:b/>
          <w:color w:val="auto"/>
          <w:sz w:val="24"/>
        </w:rPr>
      </w:pPr>
      <w:bookmarkStart w:id="5" w:name="_Toc14293706"/>
      <w:r w:rsidRPr="00CD728B">
        <w:rPr>
          <w:rFonts w:ascii="Arial Narrow" w:hAnsi="Arial Narrow"/>
          <w:b/>
          <w:color w:val="auto"/>
          <w:sz w:val="24"/>
        </w:rPr>
        <w:lastRenderedPageBreak/>
        <w:t xml:space="preserve">SÍNTESIS DE LOS </w:t>
      </w:r>
      <w:r w:rsidR="009D7771">
        <w:rPr>
          <w:rFonts w:ascii="Arial Narrow" w:hAnsi="Arial Narrow"/>
          <w:b/>
          <w:color w:val="auto"/>
          <w:sz w:val="24"/>
        </w:rPr>
        <w:t>ARTÍCULO</w:t>
      </w:r>
      <w:r w:rsidRPr="00CD728B">
        <w:rPr>
          <w:rFonts w:ascii="Arial Narrow" w:hAnsi="Arial Narrow"/>
          <w:b/>
          <w:color w:val="auto"/>
          <w:sz w:val="24"/>
        </w:rPr>
        <w:t>S DE LAS OBLIGACIONES DE TRANSPARENCIA ANALIZADOS</w:t>
      </w:r>
      <w:bookmarkEnd w:id="5"/>
    </w:p>
    <w:p w:rsidR="005A0F6E" w:rsidRPr="00CD728B" w:rsidRDefault="005A0F6E" w:rsidP="002E7D47">
      <w:pPr>
        <w:autoSpaceDE w:val="0"/>
        <w:autoSpaceDN w:val="0"/>
        <w:adjustRightInd w:val="0"/>
        <w:spacing w:after="0" w:line="360" w:lineRule="auto"/>
        <w:contextualSpacing/>
        <w:jc w:val="both"/>
        <w:rPr>
          <w:rFonts w:ascii="Arial Narrow" w:hAnsi="Arial Narrow" w:cs="Arial"/>
          <w:sz w:val="24"/>
          <w:szCs w:val="24"/>
        </w:rPr>
      </w:pPr>
    </w:p>
    <w:p w:rsidR="005A0F6E" w:rsidRPr="00CD728B" w:rsidRDefault="005A0F6E" w:rsidP="002E7D47">
      <w:pPr>
        <w:pStyle w:val="Ttulo2"/>
        <w:contextualSpacing/>
        <w:rPr>
          <w:rFonts w:ascii="Arial Narrow" w:hAnsi="Arial Narrow"/>
          <w:b/>
        </w:rPr>
      </w:pPr>
      <w:bookmarkStart w:id="6" w:name="_Toc14293707"/>
      <w:r w:rsidRPr="00CD728B">
        <w:rPr>
          <w:rFonts w:ascii="Arial Narrow" w:hAnsi="Arial Narrow"/>
          <w:b/>
          <w:color w:val="auto"/>
          <w:sz w:val="24"/>
        </w:rPr>
        <w:t>Obligaciones Comunes de la Ley de Transparencia Local</w:t>
      </w:r>
      <w:bookmarkEnd w:id="6"/>
    </w:p>
    <w:p w:rsidR="005A0F6E" w:rsidRPr="00CD728B" w:rsidRDefault="005A0F6E" w:rsidP="002E7D47">
      <w:pPr>
        <w:autoSpaceDE w:val="0"/>
        <w:autoSpaceDN w:val="0"/>
        <w:adjustRightInd w:val="0"/>
        <w:spacing w:after="0" w:line="360" w:lineRule="auto"/>
        <w:contextualSpacing/>
        <w:jc w:val="both"/>
        <w:rPr>
          <w:rFonts w:ascii="Arial Narrow" w:hAnsi="Arial Narrow" w:cs="Arial"/>
          <w:b/>
          <w:sz w:val="24"/>
          <w:szCs w:val="24"/>
        </w:rPr>
      </w:pPr>
    </w:p>
    <w:p w:rsidR="005A0F6E" w:rsidRPr="00CD728B" w:rsidRDefault="005A0F6E" w:rsidP="002E7D47">
      <w:pPr>
        <w:autoSpaceDE w:val="0"/>
        <w:autoSpaceDN w:val="0"/>
        <w:adjustRightInd w:val="0"/>
        <w:spacing w:after="0" w:line="360" w:lineRule="auto"/>
        <w:contextualSpacing/>
        <w:jc w:val="both"/>
        <w:rPr>
          <w:rFonts w:ascii="Arial Narrow" w:hAnsi="Arial Narrow" w:cs="Arial"/>
          <w:sz w:val="24"/>
          <w:szCs w:val="24"/>
        </w:rPr>
      </w:pPr>
      <w:r w:rsidRPr="00CD728B">
        <w:rPr>
          <w:rFonts w:ascii="Arial Narrow" w:hAnsi="Arial Narrow" w:cs="Arial"/>
          <w:sz w:val="24"/>
          <w:szCs w:val="24"/>
        </w:rPr>
        <w:t xml:space="preserve">Las obligaciones comunes son aquellas que le son aplicables a todos los Sujetos Obligados, sin importar su naturaleza; debido a que versa sobre información que todo Sujeto Obligado genera, posee, utiliza y resguarda. </w:t>
      </w:r>
    </w:p>
    <w:p w:rsidR="005A0F6E" w:rsidRPr="00CD728B" w:rsidRDefault="005A0F6E" w:rsidP="002E7D47">
      <w:pPr>
        <w:autoSpaceDE w:val="0"/>
        <w:autoSpaceDN w:val="0"/>
        <w:adjustRightInd w:val="0"/>
        <w:spacing w:after="0" w:line="360" w:lineRule="auto"/>
        <w:contextualSpacing/>
        <w:jc w:val="both"/>
        <w:rPr>
          <w:rFonts w:ascii="Arial Narrow" w:hAnsi="Arial Narrow" w:cs="Arial"/>
          <w:sz w:val="24"/>
          <w:szCs w:val="24"/>
        </w:rPr>
      </w:pPr>
    </w:p>
    <w:p w:rsidR="005A0F6E" w:rsidRPr="00CD728B" w:rsidRDefault="005A0F6E" w:rsidP="002E7D47">
      <w:pPr>
        <w:autoSpaceDE w:val="0"/>
        <w:autoSpaceDN w:val="0"/>
        <w:adjustRightInd w:val="0"/>
        <w:spacing w:after="0" w:line="360" w:lineRule="auto"/>
        <w:contextualSpacing/>
        <w:jc w:val="both"/>
        <w:rPr>
          <w:rFonts w:ascii="Arial Narrow" w:hAnsi="Arial Narrow" w:cs="Arial"/>
          <w:sz w:val="24"/>
          <w:szCs w:val="24"/>
        </w:rPr>
      </w:pPr>
      <w:r w:rsidRPr="00CD728B">
        <w:rPr>
          <w:rFonts w:ascii="Arial Narrow" w:hAnsi="Arial Narrow" w:cs="Arial"/>
          <w:sz w:val="24"/>
          <w:szCs w:val="24"/>
        </w:rPr>
        <w:t xml:space="preserve">El </w:t>
      </w:r>
      <w:r w:rsidR="009D7771">
        <w:rPr>
          <w:rFonts w:ascii="Arial Narrow" w:hAnsi="Arial Narrow" w:cs="Arial"/>
          <w:sz w:val="24"/>
          <w:szCs w:val="24"/>
        </w:rPr>
        <w:t>Artículo</w:t>
      </w:r>
      <w:r w:rsidRPr="00CD728B">
        <w:rPr>
          <w:rFonts w:ascii="Arial Narrow" w:hAnsi="Arial Narrow" w:cs="Arial"/>
          <w:sz w:val="24"/>
          <w:szCs w:val="24"/>
        </w:rPr>
        <w:t xml:space="preserve"> 121 se integra por 54 fracciones, en las que se mandata la publicación de información como el marco normativo, estructura orgánica, facultades y funciones de cada área, metas y objetivos de las áreas, indicadores, programas operativos anuales, el directorio, la remuneración de los servidores públicos, el número total de plazas y el tipo de estas, las contrataciones por servicios profesionales, </w:t>
      </w:r>
      <w:r w:rsidR="004B6BFD">
        <w:rPr>
          <w:rFonts w:ascii="Arial Narrow" w:hAnsi="Arial Narrow" w:cs="Arial"/>
          <w:sz w:val="24"/>
          <w:szCs w:val="24"/>
        </w:rPr>
        <w:t>las</w:t>
      </w:r>
      <w:r w:rsidRPr="00CD728B">
        <w:rPr>
          <w:rFonts w:ascii="Arial Narrow" w:hAnsi="Arial Narrow" w:cs="Arial"/>
          <w:sz w:val="24"/>
          <w:szCs w:val="24"/>
        </w:rPr>
        <w:t xml:space="preserve"> declaraciones patrimoniales, domicilio de la unidad de transparencia, información de las personas servidoras públicas con sanciones administrativas, información financiera sobre el presupuesto asignado, dictámenes de cuentan pública, los contratos y convenios celebrados, información sobre los procedimientos de adjudicación directa, invitación restringida y licitaciones; entre otros. </w:t>
      </w:r>
    </w:p>
    <w:p w:rsidR="005A0F6E" w:rsidRPr="00CD728B" w:rsidRDefault="005A0F6E" w:rsidP="002E7D47">
      <w:pPr>
        <w:autoSpaceDE w:val="0"/>
        <w:autoSpaceDN w:val="0"/>
        <w:adjustRightInd w:val="0"/>
        <w:spacing w:after="0" w:line="360" w:lineRule="auto"/>
        <w:contextualSpacing/>
        <w:jc w:val="both"/>
        <w:rPr>
          <w:rFonts w:ascii="Arial Narrow" w:hAnsi="Arial Narrow" w:cs="Arial"/>
          <w:sz w:val="24"/>
          <w:szCs w:val="24"/>
        </w:rPr>
      </w:pPr>
    </w:p>
    <w:p w:rsidR="005A0F6E" w:rsidRPr="00CD728B" w:rsidRDefault="005A0F6E" w:rsidP="002E7D47">
      <w:pPr>
        <w:autoSpaceDE w:val="0"/>
        <w:autoSpaceDN w:val="0"/>
        <w:adjustRightInd w:val="0"/>
        <w:spacing w:after="0" w:line="360" w:lineRule="auto"/>
        <w:contextualSpacing/>
        <w:jc w:val="both"/>
        <w:rPr>
          <w:rFonts w:ascii="Arial Narrow" w:hAnsi="Arial Narrow" w:cs="Arial"/>
          <w:sz w:val="24"/>
          <w:szCs w:val="24"/>
        </w:rPr>
      </w:pPr>
      <w:r w:rsidRPr="00CD728B">
        <w:rPr>
          <w:rFonts w:ascii="Arial Narrow" w:hAnsi="Arial Narrow" w:cs="Arial"/>
          <w:sz w:val="24"/>
          <w:szCs w:val="24"/>
        </w:rPr>
        <w:t xml:space="preserve">El </w:t>
      </w:r>
      <w:r w:rsidR="009D7771">
        <w:rPr>
          <w:rFonts w:ascii="Arial Narrow" w:hAnsi="Arial Narrow" w:cs="Arial"/>
          <w:sz w:val="24"/>
          <w:szCs w:val="24"/>
        </w:rPr>
        <w:t>Artículo</w:t>
      </w:r>
      <w:r w:rsidRPr="00CD728B">
        <w:rPr>
          <w:rFonts w:ascii="Arial Narrow" w:hAnsi="Arial Narrow" w:cs="Arial"/>
          <w:sz w:val="24"/>
          <w:szCs w:val="24"/>
        </w:rPr>
        <w:t xml:space="preserve"> 122 se integra por tres fracciones en las cuales es señalada la obligación de publicar información en materia de programas sociales, de ayuda, subsidios, estímulos y apoyos. </w:t>
      </w:r>
    </w:p>
    <w:p w:rsidR="005A0F6E" w:rsidRPr="00CD728B" w:rsidRDefault="005A0F6E" w:rsidP="002E7D47">
      <w:pPr>
        <w:autoSpaceDE w:val="0"/>
        <w:autoSpaceDN w:val="0"/>
        <w:adjustRightInd w:val="0"/>
        <w:spacing w:after="0" w:line="360" w:lineRule="auto"/>
        <w:contextualSpacing/>
        <w:jc w:val="both"/>
        <w:rPr>
          <w:rFonts w:ascii="Arial Narrow" w:hAnsi="Arial Narrow" w:cs="Arial"/>
          <w:sz w:val="24"/>
          <w:szCs w:val="24"/>
        </w:rPr>
      </w:pPr>
    </w:p>
    <w:p w:rsidR="005A0F6E" w:rsidRPr="00CD728B" w:rsidRDefault="005A0F6E" w:rsidP="002E7D47">
      <w:pPr>
        <w:pStyle w:val="Ttulo2"/>
        <w:contextualSpacing/>
        <w:rPr>
          <w:rFonts w:ascii="Arial Narrow" w:hAnsi="Arial Narrow"/>
          <w:b/>
          <w:color w:val="auto"/>
          <w:sz w:val="24"/>
        </w:rPr>
      </w:pPr>
      <w:bookmarkStart w:id="7" w:name="_Toc14293708"/>
      <w:r w:rsidRPr="00CD728B">
        <w:rPr>
          <w:rFonts w:ascii="Arial Narrow" w:hAnsi="Arial Narrow"/>
          <w:b/>
          <w:color w:val="auto"/>
          <w:sz w:val="24"/>
        </w:rPr>
        <w:t>Obligaciones Específicas de la Ley de Transparencia Local</w:t>
      </w:r>
      <w:bookmarkEnd w:id="7"/>
    </w:p>
    <w:p w:rsidR="005A0F6E" w:rsidRPr="00CD728B" w:rsidRDefault="005A0F6E" w:rsidP="002E7D47">
      <w:pPr>
        <w:autoSpaceDE w:val="0"/>
        <w:autoSpaceDN w:val="0"/>
        <w:adjustRightInd w:val="0"/>
        <w:spacing w:after="0" w:line="360" w:lineRule="auto"/>
        <w:contextualSpacing/>
        <w:jc w:val="both"/>
        <w:rPr>
          <w:rFonts w:ascii="Arial Narrow" w:hAnsi="Arial Narrow" w:cs="Arial"/>
          <w:sz w:val="24"/>
          <w:szCs w:val="24"/>
        </w:rPr>
      </w:pPr>
    </w:p>
    <w:p w:rsidR="005A0F6E" w:rsidRPr="00CD728B" w:rsidRDefault="005A0F6E" w:rsidP="002E7D47">
      <w:pPr>
        <w:autoSpaceDE w:val="0"/>
        <w:autoSpaceDN w:val="0"/>
        <w:adjustRightInd w:val="0"/>
        <w:spacing w:after="0" w:line="360" w:lineRule="auto"/>
        <w:contextualSpacing/>
        <w:jc w:val="both"/>
        <w:rPr>
          <w:rFonts w:ascii="Arial Narrow" w:hAnsi="Arial Narrow" w:cs="Arial"/>
          <w:sz w:val="24"/>
          <w:szCs w:val="24"/>
        </w:rPr>
      </w:pPr>
      <w:r w:rsidRPr="00CD728B">
        <w:rPr>
          <w:rFonts w:ascii="Arial Narrow" w:hAnsi="Arial Narrow" w:cs="Arial"/>
          <w:sz w:val="24"/>
          <w:szCs w:val="24"/>
        </w:rPr>
        <w:t>Las obligaciones específicas se integran por 13 secciones y hacen referencia a la información que dependiendo de la naturaleza de cada Sujeto Obligado, debe de generar, poseer, utilizar y resguardar.</w:t>
      </w:r>
    </w:p>
    <w:p w:rsidR="005A0F6E" w:rsidRPr="00CD728B" w:rsidRDefault="005A0F6E" w:rsidP="002E7D47">
      <w:pPr>
        <w:autoSpaceDE w:val="0"/>
        <w:autoSpaceDN w:val="0"/>
        <w:adjustRightInd w:val="0"/>
        <w:spacing w:after="0" w:line="360" w:lineRule="auto"/>
        <w:contextualSpacing/>
        <w:jc w:val="both"/>
        <w:rPr>
          <w:rFonts w:ascii="Arial Narrow" w:hAnsi="Arial Narrow" w:cs="Arial"/>
          <w:sz w:val="24"/>
          <w:szCs w:val="24"/>
        </w:rPr>
      </w:pPr>
    </w:p>
    <w:p w:rsidR="005A0F6E" w:rsidRPr="00CD728B" w:rsidRDefault="005A0F6E" w:rsidP="002E7D47">
      <w:pPr>
        <w:autoSpaceDE w:val="0"/>
        <w:autoSpaceDN w:val="0"/>
        <w:adjustRightInd w:val="0"/>
        <w:spacing w:after="0" w:line="360" w:lineRule="auto"/>
        <w:contextualSpacing/>
        <w:jc w:val="both"/>
        <w:rPr>
          <w:rFonts w:ascii="Arial Narrow" w:hAnsi="Arial Narrow" w:cs="Arial"/>
          <w:sz w:val="24"/>
          <w:szCs w:val="24"/>
        </w:rPr>
      </w:pPr>
      <w:r w:rsidRPr="00CD728B">
        <w:rPr>
          <w:rFonts w:ascii="Arial Narrow" w:hAnsi="Arial Narrow" w:cs="Arial"/>
          <w:sz w:val="24"/>
          <w:szCs w:val="24"/>
        </w:rPr>
        <w:t xml:space="preserve">La sección primera se integra por el </w:t>
      </w:r>
      <w:r w:rsidR="009D7771">
        <w:rPr>
          <w:rFonts w:ascii="Arial Narrow" w:hAnsi="Arial Narrow" w:cs="Arial"/>
          <w:sz w:val="24"/>
          <w:szCs w:val="24"/>
        </w:rPr>
        <w:t>Artículo</w:t>
      </w:r>
      <w:r w:rsidRPr="00CD728B">
        <w:rPr>
          <w:rFonts w:ascii="Arial Narrow" w:hAnsi="Arial Narrow" w:cs="Arial"/>
          <w:sz w:val="24"/>
          <w:szCs w:val="24"/>
        </w:rPr>
        <w:t xml:space="preserve"> 123 y hace referencia a las obligaciones del Poder Ejecutivo; en ésta se contemplan obligaciones consistentes en publicar las iniciativas de leyes o demás decretos en materia administrativa, el Programa General de Desarrollo de la Ciudad de México, el </w:t>
      </w:r>
      <w:r w:rsidRPr="00CD728B">
        <w:rPr>
          <w:rFonts w:ascii="Arial Narrow" w:hAnsi="Arial Narrow" w:cs="Arial"/>
          <w:sz w:val="24"/>
          <w:szCs w:val="24"/>
        </w:rPr>
        <w:lastRenderedPageBreak/>
        <w:t>Presupuesto de Egresos y las fórmulas de distribución, el listado de expropiaciones decretadas y ejecutadas, el listado de patentes de corredores y notarios públicos, información detallada que contengan los planes de desarrollo urbano, reglamentos de leyes expedidos, los usos de suelo a través de mapas y planos</w:t>
      </w:r>
      <w:r w:rsidR="004B6BFD">
        <w:rPr>
          <w:rFonts w:ascii="Arial Narrow" w:hAnsi="Arial Narrow" w:cs="Arial"/>
          <w:sz w:val="24"/>
          <w:szCs w:val="24"/>
        </w:rPr>
        <w:t>,</w:t>
      </w:r>
      <w:r w:rsidRPr="00CD728B">
        <w:rPr>
          <w:rFonts w:ascii="Arial Narrow" w:hAnsi="Arial Narrow" w:cs="Arial"/>
          <w:sz w:val="24"/>
          <w:szCs w:val="24"/>
        </w:rPr>
        <w:t xml:space="preserve"> información sobre la calidad del agua, manifestaciones de impacto ambiental y estudios de la calidad del aire. </w:t>
      </w:r>
    </w:p>
    <w:p w:rsidR="005A0F6E" w:rsidRPr="00CD728B" w:rsidRDefault="005A0F6E" w:rsidP="002E7D47">
      <w:pPr>
        <w:autoSpaceDE w:val="0"/>
        <w:autoSpaceDN w:val="0"/>
        <w:adjustRightInd w:val="0"/>
        <w:spacing w:after="0" w:line="360" w:lineRule="auto"/>
        <w:contextualSpacing/>
        <w:jc w:val="both"/>
        <w:rPr>
          <w:rFonts w:ascii="Arial Narrow" w:hAnsi="Arial Narrow" w:cs="Arial"/>
          <w:sz w:val="24"/>
          <w:szCs w:val="24"/>
        </w:rPr>
      </w:pPr>
    </w:p>
    <w:p w:rsidR="005A0F6E" w:rsidRPr="00CD728B" w:rsidRDefault="005A0F6E" w:rsidP="002E7D47">
      <w:pPr>
        <w:autoSpaceDE w:val="0"/>
        <w:autoSpaceDN w:val="0"/>
        <w:adjustRightInd w:val="0"/>
        <w:spacing w:after="0" w:line="360" w:lineRule="auto"/>
        <w:contextualSpacing/>
        <w:jc w:val="both"/>
        <w:rPr>
          <w:rFonts w:ascii="Arial Narrow" w:hAnsi="Arial Narrow" w:cs="Arial"/>
          <w:sz w:val="24"/>
          <w:szCs w:val="24"/>
        </w:rPr>
      </w:pPr>
      <w:r w:rsidRPr="00CD728B">
        <w:rPr>
          <w:rFonts w:ascii="Arial Narrow" w:hAnsi="Arial Narrow" w:cs="Arial"/>
          <w:sz w:val="24"/>
          <w:szCs w:val="24"/>
        </w:rPr>
        <w:t xml:space="preserve">La sección segunda se conforma por el </w:t>
      </w:r>
      <w:r w:rsidR="009D7771">
        <w:rPr>
          <w:rFonts w:ascii="Arial Narrow" w:hAnsi="Arial Narrow" w:cs="Arial"/>
          <w:sz w:val="24"/>
          <w:szCs w:val="24"/>
        </w:rPr>
        <w:t>Artículo</w:t>
      </w:r>
      <w:r w:rsidRPr="00CD728B">
        <w:rPr>
          <w:rFonts w:ascii="Arial Narrow" w:hAnsi="Arial Narrow" w:cs="Arial"/>
          <w:sz w:val="24"/>
          <w:szCs w:val="24"/>
        </w:rPr>
        <w:t xml:space="preserve"> 124 y hace referencia a los Órganos Políticos Administrativos, Alcaldías o Demarcaciones Territoriales; en ésta se contemplan obligaciones consistentes en publicar los indicadores oficiales de los servicios públicos, el calendario con las actividades culturales, deportivas y recreativas, el calendario trimestral sobre el ejercicio del presupuesto, los programas de ayudas y subsidios, los gastos realizados por concepto de asesorías, el padrón de contralores ciudadanos, información respecto a la recolección de basura, el programa de Seguridad Pública, entre otros. </w:t>
      </w:r>
    </w:p>
    <w:p w:rsidR="005A0F6E" w:rsidRPr="00CD728B" w:rsidRDefault="005A0F6E" w:rsidP="002E7D47">
      <w:pPr>
        <w:autoSpaceDE w:val="0"/>
        <w:autoSpaceDN w:val="0"/>
        <w:adjustRightInd w:val="0"/>
        <w:spacing w:after="0" w:line="360" w:lineRule="auto"/>
        <w:contextualSpacing/>
        <w:jc w:val="both"/>
        <w:rPr>
          <w:rFonts w:ascii="Arial Narrow" w:hAnsi="Arial Narrow" w:cs="Arial"/>
          <w:sz w:val="24"/>
          <w:szCs w:val="24"/>
        </w:rPr>
      </w:pPr>
    </w:p>
    <w:p w:rsidR="005A0F6E" w:rsidRPr="00CD728B" w:rsidRDefault="005A0F6E" w:rsidP="002E7D47">
      <w:pPr>
        <w:autoSpaceDE w:val="0"/>
        <w:autoSpaceDN w:val="0"/>
        <w:adjustRightInd w:val="0"/>
        <w:spacing w:after="0" w:line="360" w:lineRule="auto"/>
        <w:contextualSpacing/>
        <w:jc w:val="both"/>
        <w:rPr>
          <w:rFonts w:ascii="Arial Narrow" w:hAnsi="Arial Narrow" w:cs="Arial"/>
          <w:sz w:val="24"/>
          <w:szCs w:val="24"/>
        </w:rPr>
      </w:pPr>
      <w:r w:rsidRPr="00CD728B">
        <w:rPr>
          <w:rFonts w:ascii="Arial Narrow" w:hAnsi="Arial Narrow" w:cs="Arial"/>
          <w:sz w:val="24"/>
          <w:szCs w:val="24"/>
        </w:rPr>
        <w:t xml:space="preserve">La tercera sección se integra por el </w:t>
      </w:r>
      <w:r w:rsidR="009D7771">
        <w:rPr>
          <w:rFonts w:ascii="Arial Narrow" w:hAnsi="Arial Narrow" w:cs="Arial"/>
          <w:sz w:val="24"/>
          <w:szCs w:val="24"/>
        </w:rPr>
        <w:t>Artículo</w:t>
      </w:r>
      <w:r w:rsidRPr="00CD728B">
        <w:rPr>
          <w:rFonts w:ascii="Arial Narrow" w:hAnsi="Arial Narrow" w:cs="Arial"/>
          <w:sz w:val="24"/>
          <w:szCs w:val="24"/>
        </w:rPr>
        <w:t xml:space="preserve"> 125 y hace referencia al Poder Legislativo, en ésta se contemplan obligaciones consistentes en publicar la ficha técnica por cada Diputado y Diputada, la agenda legislativa, gaceta parlamentaria, el orden del día de las Sesiones del Pleno, el Diario de Debates, las versiones estenográficas, las leyes, decretos y acuerdo aprobados, solicitudes de licencias, contrataciones de asesorías y servicios personales, el informe anual del gasto, el padrón de cabilderos, la lista de los integrantes del Comité de Adquisiciones, la descripción general del poder legislativo, entre otros. </w:t>
      </w:r>
    </w:p>
    <w:p w:rsidR="005A0F6E" w:rsidRPr="00CD728B" w:rsidRDefault="005A0F6E" w:rsidP="002E7D47">
      <w:pPr>
        <w:autoSpaceDE w:val="0"/>
        <w:autoSpaceDN w:val="0"/>
        <w:adjustRightInd w:val="0"/>
        <w:spacing w:after="0" w:line="360" w:lineRule="auto"/>
        <w:contextualSpacing/>
        <w:jc w:val="both"/>
        <w:rPr>
          <w:rFonts w:ascii="Arial Narrow" w:hAnsi="Arial Narrow" w:cs="Arial"/>
          <w:sz w:val="24"/>
          <w:szCs w:val="24"/>
        </w:rPr>
      </w:pPr>
    </w:p>
    <w:p w:rsidR="005A0F6E" w:rsidRPr="00CD728B" w:rsidRDefault="005A0F6E" w:rsidP="002E7D47">
      <w:pPr>
        <w:autoSpaceDE w:val="0"/>
        <w:autoSpaceDN w:val="0"/>
        <w:adjustRightInd w:val="0"/>
        <w:spacing w:after="0" w:line="360" w:lineRule="auto"/>
        <w:contextualSpacing/>
        <w:jc w:val="both"/>
        <w:rPr>
          <w:rFonts w:ascii="Arial Narrow" w:hAnsi="Arial Narrow" w:cs="Arial"/>
          <w:sz w:val="24"/>
          <w:szCs w:val="24"/>
        </w:rPr>
      </w:pPr>
      <w:r w:rsidRPr="00CD728B">
        <w:rPr>
          <w:rFonts w:ascii="Arial Narrow" w:hAnsi="Arial Narrow" w:cs="Arial"/>
          <w:sz w:val="24"/>
          <w:szCs w:val="24"/>
        </w:rPr>
        <w:t xml:space="preserve">La sección cuarta versa sobre el Poder Judicial, y se integra por el </w:t>
      </w:r>
      <w:r w:rsidR="009D7771">
        <w:rPr>
          <w:rFonts w:ascii="Arial Narrow" w:hAnsi="Arial Narrow" w:cs="Arial"/>
          <w:sz w:val="24"/>
          <w:szCs w:val="24"/>
        </w:rPr>
        <w:t>Artículo</w:t>
      </w:r>
      <w:r w:rsidRPr="00CD728B">
        <w:rPr>
          <w:rFonts w:ascii="Arial Narrow" w:hAnsi="Arial Narrow" w:cs="Arial"/>
          <w:sz w:val="24"/>
          <w:szCs w:val="24"/>
        </w:rPr>
        <w:t xml:space="preserve"> 126, apartado primero, que hace referencia a las obligaciones del Tribunal Superior de Justicia y al Tribunal Contencioso Administrativo de la Ciudad de México y, apartado segundo, que contempla al Consejo de la Judicatura de la Ciudad de México. La información que se mandata publicar consiste en la versión estenográfica de las Sesiones del Pleno, votación de los acuerdo sometidos a consideración del Pleno, estadística </w:t>
      </w:r>
      <w:r w:rsidRPr="00CD728B">
        <w:rPr>
          <w:rFonts w:ascii="Arial Narrow" w:hAnsi="Arial Narrow" w:cs="Arial"/>
          <w:sz w:val="24"/>
          <w:szCs w:val="24"/>
        </w:rPr>
        <w:lastRenderedPageBreak/>
        <w:t>judicial, las resoluciones y expedientes judi</w:t>
      </w:r>
      <w:r w:rsidR="004B6BFD">
        <w:rPr>
          <w:rFonts w:ascii="Arial Narrow" w:hAnsi="Arial Narrow" w:cs="Arial"/>
          <w:sz w:val="24"/>
          <w:szCs w:val="24"/>
        </w:rPr>
        <w:t>ciales y administrativos, carrer</w:t>
      </w:r>
      <w:r w:rsidRPr="00CD728B">
        <w:rPr>
          <w:rFonts w:ascii="Arial Narrow" w:hAnsi="Arial Narrow" w:cs="Arial"/>
          <w:sz w:val="24"/>
          <w:szCs w:val="24"/>
        </w:rPr>
        <w:t xml:space="preserve">a judicial, convocatorias, registro de aspirante, inventario de los bienes muebles, el boletín judicial, las versiones públicas de la sentencias, entre otros. </w:t>
      </w:r>
    </w:p>
    <w:p w:rsidR="005A0F6E" w:rsidRPr="00CD728B" w:rsidRDefault="005A0F6E" w:rsidP="002E7D47">
      <w:pPr>
        <w:autoSpaceDE w:val="0"/>
        <w:autoSpaceDN w:val="0"/>
        <w:adjustRightInd w:val="0"/>
        <w:spacing w:after="0" w:line="360" w:lineRule="auto"/>
        <w:contextualSpacing/>
        <w:jc w:val="both"/>
        <w:rPr>
          <w:rFonts w:ascii="Arial Narrow" w:hAnsi="Arial Narrow" w:cs="Arial"/>
          <w:sz w:val="24"/>
          <w:szCs w:val="24"/>
        </w:rPr>
      </w:pPr>
    </w:p>
    <w:p w:rsidR="005A0F6E" w:rsidRPr="00CD728B" w:rsidRDefault="005A0F6E" w:rsidP="002E7D47">
      <w:pPr>
        <w:autoSpaceDE w:val="0"/>
        <w:autoSpaceDN w:val="0"/>
        <w:adjustRightInd w:val="0"/>
        <w:spacing w:after="0" w:line="360" w:lineRule="auto"/>
        <w:contextualSpacing/>
        <w:jc w:val="both"/>
        <w:rPr>
          <w:rFonts w:ascii="Arial Narrow" w:hAnsi="Arial Narrow" w:cs="Arial"/>
          <w:sz w:val="24"/>
          <w:szCs w:val="24"/>
        </w:rPr>
      </w:pPr>
      <w:r w:rsidRPr="00CD728B">
        <w:rPr>
          <w:rFonts w:ascii="Arial Narrow" w:hAnsi="Arial Narrow" w:cs="Arial"/>
          <w:sz w:val="24"/>
          <w:szCs w:val="24"/>
        </w:rPr>
        <w:t xml:space="preserve">La sección quinta se integra por el </w:t>
      </w:r>
      <w:r w:rsidR="009D7771">
        <w:rPr>
          <w:rFonts w:ascii="Arial Narrow" w:hAnsi="Arial Narrow" w:cs="Arial"/>
          <w:sz w:val="24"/>
          <w:szCs w:val="24"/>
        </w:rPr>
        <w:t>Artículo</w:t>
      </w:r>
      <w:r w:rsidRPr="00CD728B">
        <w:rPr>
          <w:rFonts w:ascii="Arial Narrow" w:hAnsi="Arial Narrow" w:cs="Arial"/>
          <w:sz w:val="24"/>
          <w:szCs w:val="24"/>
        </w:rPr>
        <w:t xml:space="preserve"> 127 y refiere a la Auditoría Superior de la Ciudad de México, las obligaciones que contempla se refieren al Programa General de Auditoría, los resultados de las auditorías concluidas al ejercicio presupuestal, el avance trimestral en la ejecución de su programa general de auditoría, la información relativa a las </w:t>
      </w:r>
      <w:proofErr w:type="spellStart"/>
      <w:r w:rsidRPr="00CD728B">
        <w:rPr>
          <w:rFonts w:ascii="Arial Narrow" w:hAnsi="Arial Narrow" w:cs="Arial"/>
          <w:sz w:val="24"/>
          <w:szCs w:val="24"/>
        </w:rPr>
        <w:t>solventaciones</w:t>
      </w:r>
      <w:proofErr w:type="spellEnd"/>
      <w:r w:rsidRPr="00CD728B">
        <w:rPr>
          <w:rFonts w:ascii="Arial Narrow" w:hAnsi="Arial Narrow" w:cs="Arial"/>
          <w:sz w:val="24"/>
          <w:szCs w:val="24"/>
        </w:rPr>
        <w:t xml:space="preserve"> o aclaraciones de los resultados derivados de las auditorías concluidas, entre otros.</w:t>
      </w:r>
    </w:p>
    <w:p w:rsidR="005A0F6E" w:rsidRPr="00CD728B" w:rsidRDefault="005A0F6E" w:rsidP="002E7D47">
      <w:pPr>
        <w:autoSpaceDE w:val="0"/>
        <w:autoSpaceDN w:val="0"/>
        <w:adjustRightInd w:val="0"/>
        <w:spacing w:after="0" w:line="360" w:lineRule="auto"/>
        <w:contextualSpacing/>
        <w:jc w:val="both"/>
        <w:rPr>
          <w:rFonts w:ascii="Arial Narrow" w:hAnsi="Arial Narrow" w:cs="Arial"/>
          <w:sz w:val="24"/>
          <w:szCs w:val="24"/>
        </w:rPr>
      </w:pPr>
    </w:p>
    <w:p w:rsidR="005A0F6E" w:rsidRPr="00CD728B" w:rsidRDefault="005A0F6E" w:rsidP="002E7D47">
      <w:pPr>
        <w:autoSpaceDE w:val="0"/>
        <w:autoSpaceDN w:val="0"/>
        <w:adjustRightInd w:val="0"/>
        <w:spacing w:after="0" w:line="360" w:lineRule="auto"/>
        <w:contextualSpacing/>
        <w:jc w:val="both"/>
        <w:rPr>
          <w:rFonts w:ascii="Arial Narrow" w:hAnsi="Arial Narrow" w:cs="Arial"/>
          <w:sz w:val="24"/>
          <w:szCs w:val="24"/>
        </w:rPr>
      </w:pPr>
      <w:r w:rsidRPr="00CD728B">
        <w:rPr>
          <w:rFonts w:ascii="Arial Narrow" w:hAnsi="Arial Narrow" w:cs="Arial"/>
          <w:sz w:val="24"/>
          <w:szCs w:val="24"/>
        </w:rPr>
        <w:t xml:space="preserve">La sección sexta está integrada por el </w:t>
      </w:r>
      <w:r w:rsidR="009D7771">
        <w:rPr>
          <w:rFonts w:ascii="Arial Narrow" w:hAnsi="Arial Narrow" w:cs="Arial"/>
          <w:sz w:val="24"/>
          <w:szCs w:val="24"/>
        </w:rPr>
        <w:t>Artículo</w:t>
      </w:r>
      <w:r w:rsidRPr="00CD728B">
        <w:rPr>
          <w:rFonts w:ascii="Arial Narrow" w:hAnsi="Arial Narrow" w:cs="Arial"/>
          <w:sz w:val="24"/>
          <w:szCs w:val="24"/>
        </w:rPr>
        <w:t xml:space="preserve"> 128 que hace referencia a las Autoridades Electorales,  y contempla los listados de partidos políticos, asociaciones y agrupaciones políticas, la geografía y cartografía electoral, el registro de candidatos a cargos de elección popular, los montos de financiamiento público por actividades ordinarias, de campaña y específicas, informes entregados a la autoridad electoral sobre el origen, monto y destino de los recursos, los resultados y declaraciones de validez de las elecciones, la información detallada de su estado financiero del uso y manejo de su presupuesto, entre otros.</w:t>
      </w:r>
    </w:p>
    <w:p w:rsidR="005A0F6E" w:rsidRPr="00CD728B" w:rsidRDefault="005A0F6E" w:rsidP="002E7D47">
      <w:pPr>
        <w:autoSpaceDE w:val="0"/>
        <w:autoSpaceDN w:val="0"/>
        <w:adjustRightInd w:val="0"/>
        <w:spacing w:after="0" w:line="360" w:lineRule="auto"/>
        <w:contextualSpacing/>
        <w:jc w:val="both"/>
        <w:rPr>
          <w:rFonts w:ascii="Arial Narrow" w:hAnsi="Arial Narrow" w:cs="Arial"/>
          <w:sz w:val="24"/>
          <w:szCs w:val="24"/>
        </w:rPr>
      </w:pPr>
    </w:p>
    <w:p w:rsidR="005A0F6E" w:rsidRPr="00CD728B" w:rsidRDefault="005A0F6E" w:rsidP="002E7D47">
      <w:pPr>
        <w:autoSpaceDE w:val="0"/>
        <w:autoSpaceDN w:val="0"/>
        <w:adjustRightInd w:val="0"/>
        <w:spacing w:after="0" w:line="360" w:lineRule="auto"/>
        <w:contextualSpacing/>
        <w:jc w:val="both"/>
        <w:rPr>
          <w:rFonts w:ascii="Arial Narrow" w:hAnsi="Arial Narrow" w:cs="Arial"/>
          <w:sz w:val="24"/>
          <w:szCs w:val="24"/>
        </w:rPr>
      </w:pPr>
      <w:r w:rsidRPr="00CD728B">
        <w:rPr>
          <w:rFonts w:ascii="Arial Narrow" w:hAnsi="Arial Narrow" w:cs="Arial"/>
          <w:sz w:val="24"/>
          <w:szCs w:val="24"/>
        </w:rPr>
        <w:t xml:space="preserve">La séptima sección se integra por los </w:t>
      </w:r>
      <w:r w:rsidR="009D7771">
        <w:rPr>
          <w:rFonts w:ascii="Arial Narrow" w:hAnsi="Arial Narrow" w:cs="Arial"/>
          <w:sz w:val="24"/>
          <w:szCs w:val="24"/>
        </w:rPr>
        <w:t>Artículo</w:t>
      </w:r>
      <w:r w:rsidRPr="00CD728B">
        <w:rPr>
          <w:rFonts w:ascii="Arial Narrow" w:hAnsi="Arial Narrow" w:cs="Arial"/>
          <w:sz w:val="24"/>
          <w:szCs w:val="24"/>
        </w:rPr>
        <w:t>s 129, 130 y 131. En el caso de</w:t>
      </w:r>
      <w:r w:rsidR="004B6BFD">
        <w:rPr>
          <w:rFonts w:ascii="Arial Narrow" w:hAnsi="Arial Narrow" w:cs="Arial"/>
          <w:sz w:val="24"/>
          <w:szCs w:val="24"/>
        </w:rPr>
        <w:t>l</w:t>
      </w:r>
      <w:r w:rsidRPr="00CD728B">
        <w:rPr>
          <w:rFonts w:ascii="Arial Narrow" w:hAnsi="Arial Narrow" w:cs="Arial"/>
          <w:sz w:val="24"/>
          <w:szCs w:val="24"/>
        </w:rPr>
        <w:t xml:space="preserve"> </w:t>
      </w:r>
      <w:r w:rsidR="009D7771">
        <w:rPr>
          <w:rFonts w:ascii="Arial Narrow" w:hAnsi="Arial Narrow" w:cs="Arial"/>
          <w:sz w:val="24"/>
          <w:szCs w:val="24"/>
        </w:rPr>
        <w:t>Artículo</w:t>
      </w:r>
      <w:r w:rsidRPr="00CD728B">
        <w:rPr>
          <w:rFonts w:ascii="Arial Narrow" w:hAnsi="Arial Narrow" w:cs="Arial"/>
          <w:sz w:val="24"/>
          <w:szCs w:val="24"/>
        </w:rPr>
        <w:t xml:space="preserve"> 129 </w:t>
      </w:r>
      <w:r w:rsidR="004B6BFD">
        <w:rPr>
          <w:rFonts w:ascii="Arial Narrow" w:hAnsi="Arial Narrow" w:cs="Arial"/>
          <w:sz w:val="24"/>
          <w:szCs w:val="24"/>
        </w:rPr>
        <w:t xml:space="preserve">se </w:t>
      </w:r>
      <w:r w:rsidRPr="00CD728B">
        <w:rPr>
          <w:rFonts w:ascii="Arial Narrow" w:hAnsi="Arial Narrow" w:cs="Arial"/>
          <w:sz w:val="24"/>
          <w:szCs w:val="24"/>
        </w:rPr>
        <w:t xml:space="preserve">hace referencia a las organizaciones políticas en donde se contempla el padrón de afiliados o militantes de los partidos políticos, los acuerdos y resoluciones de los órganos de dirección de los partidos políticos, los convenios de participación entre partidos políticos con organizaciones de la sociedad civil, los montos de las cuotas ordinarias y extraordinarias aportadas por sus militantes así como también los montos autorizados de financiamiento privado, el tabulador de remuneraciones que perciben los integrantes de los órganos y de los demás funcionarios partidistas, informes sobre el gasto del financiamiento público ordinario, entre otros. Por su parte respecto al </w:t>
      </w:r>
      <w:r w:rsidR="009D7771">
        <w:rPr>
          <w:rFonts w:ascii="Arial Narrow" w:hAnsi="Arial Narrow" w:cs="Arial"/>
          <w:sz w:val="24"/>
          <w:szCs w:val="24"/>
        </w:rPr>
        <w:t>Artículo</w:t>
      </w:r>
      <w:r w:rsidRPr="00CD728B">
        <w:rPr>
          <w:rFonts w:ascii="Arial Narrow" w:hAnsi="Arial Narrow" w:cs="Arial"/>
          <w:sz w:val="24"/>
          <w:szCs w:val="24"/>
        </w:rPr>
        <w:t xml:space="preserve"> 130 este menciona que los partidos políticos deberán mantener actualizada la información que se detalle en la legislación </w:t>
      </w:r>
      <w:r w:rsidRPr="00CD728B">
        <w:rPr>
          <w:rFonts w:ascii="Arial Narrow" w:hAnsi="Arial Narrow" w:cs="Arial"/>
          <w:sz w:val="24"/>
          <w:szCs w:val="24"/>
        </w:rPr>
        <w:lastRenderedPageBreak/>
        <w:t xml:space="preserve">electoral local vigente. Mientras que el </w:t>
      </w:r>
      <w:r w:rsidR="009D7771">
        <w:rPr>
          <w:rFonts w:ascii="Arial Narrow" w:hAnsi="Arial Narrow" w:cs="Arial"/>
          <w:sz w:val="24"/>
          <w:szCs w:val="24"/>
        </w:rPr>
        <w:t>Artículo</w:t>
      </w:r>
      <w:r w:rsidRPr="00CD728B">
        <w:rPr>
          <w:rFonts w:ascii="Arial Narrow" w:hAnsi="Arial Narrow" w:cs="Arial"/>
          <w:sz w:val="24"/>
          <w:szCs w:val="24"/>
        </w:rPr>
        <w:t xml:space="preserve"> 131 menciona que en caso de que los partidos políticos, las agrupaciones políticas y las personas morales constituidas en asociación civil que pretendan postular su candidatura independiente incumplan con las obligaciones establecidas anteriormente, el Instituto dará vista al Órgano Electoral Local para que determine las acciones y/o sanciones procedentes. </w:t>
      </w:r>
    </w:p>
    <w:p w:rsidR="005A0F6E" w:rsidRPr="00CD728B" w:rsidRDefault="005A0F6E" w:rsidP="002E7D47">
      <w:pPr>
        <w:autoSpaceDE w:val="0"/>
        <w:autoSpaceDN w:val="0"/>
        <w:adjustRightInd w:val="0"/>
        <w:spacing w:after="0" w:line="360" w:lineRule="auto"/>
        <w:contextualSpacing/>
        <w:jc w:val="both"/>
        <w:rPr>
          <w:rFonts w:ascii="Arial Narrow" w:hAnsi="Arial Narrow" w:cs="Arial"/>
          <w:sz w:val="24"/>
          <w:szCs w:val="24"/>
        </w:rPr>
      </w:pPr>
    </w:p>
    <w:p w:rsidR="005A0F6E" w:rsidRPr="00CD728B" w:rsidRDefault="005A0F6E" w:rsidP="002E7D47">
      <w:pPr>
        <w:autoSpaceDE w:val="0"/>
        <w:autoSpaceDN w:val="0"/>
        <w:adjustRightInd w:val="0"/>
        <w:spacing w:after="0" w:line="360" w:lineRule="auto"/>
        <w:contextualSpacing/>
        <w:jc w:val="both"/>
        <w:rPr>
          <w:rFonts w:ascii="Arial Narrow" w:hAnsi="Arial Narrow" w:cs="Arial"/>
          <w:sz w:val="24"/>
          <w:szCs w:val="24"/>
        </w:rPr>
      </w:pPr>
      <w:r w:rsidRPr="00CD728B">
        <w:rPr>
          <w:rFonts w:ascii="Arial Narrow" w:hAnsi="Arial Narrow" w:cs="Arial"/>
          <w:sz w:val="24"/>
          <w:szCs w:val="24"/>
        </w:rPr>
        <w:t xml:space="preserve">La sección octava se integra por el </w:t>
      </w:r>
      <w:r w:rsidR="009D7771">
        <w:rPr>
          <w:rFonts w:ascii="Arial Narrow" w:hAnsi="Arial Narrow" w:cs="Arial"/>
          <w:sz w:val="24"/>
          <w:szCs w:val="24"/>
        </w:rPr>
        <w:t>Artículo</w:t>
      </w:r>
      <w:r w:rsidRPr="00CD728B">
        <w:rPr>
          <w:rFonts w:ascii="Arial Narrow" w:hAnsi="Arial Narrow" w:cs="Arial"/>
          <w:sz w:val="24"/>
          <w:szCs w:val="24"/>
        </w:rPr>
        <w:t xml:space="preserve"> 132 que se refiere a la Comisión de Derechos Humanos; en la cual se mandata la publicación del listado y versiones públicas de las recomendaciones emitidas, las quejas y denuncias e impugnaciones concluidas, estadísticas sobre las quejas presentadas, acuerdos de conciliación, listado de medias precautorias, toda información con la que cuente relacionada con hechos constitutivos de violaciones graves a los derechos humanos, información de acciones y resultados respecto de la defensa, promoción y protección de los derechos humanos, estado que guardan los derechos humanos en el sistema penitenciario, entre otros. </w:t>
      </w:r>
    </w:p>
    <w:p w:rsidR="005A0F6E" w:rsidRPr="00CD728B" w:rsidRDefault="005A0F6E" w:rsidP="002E7D47">
      <w:pPr>
        <w:autoSpaceDE w:val="0"/>
        <w:autoSpaceDN w:val="0"/>
        <w:adjustRightInd w:val="0"/>
        <w:spacing w:after="0" w:line="360" w:lineRule="auto"/>
        <w:contextualSpacing/>
        <w:jc w:val="both"/>
        <w:rPr>
          <w:rFonts w:ascii="Arial Narrow" w:hAnsi="Arial Narrow" w:cs="Arial"/>
          <w:sz w:val="24"/>
          <w:szCs w:val="24"/>
        </w:rPr>
      </w:pPr>
    </w:p>
    <w:p w:rsidR="005A0F6E" w:rsidRPr="00CD728B" w:rsidRDefault="005A0F6E" w:rsidP="002E7D47">
      <w:pPr>
        <w:autoSpaceDE w:val="0"/>
        <w:autoSpaceDN w:val="0"/>
        <w:adjustRightInd w:val="0"/>
        <w:spacing w:after="0" w:line="360" w:lineRule="auto"/>
        <w:contextualSpacing/>
        <w:jc w:val="both"/>
        <w:rPr>
          <w:rFonts w:ascii="Arial Narrow" w:hAnsi="Arial Narrow" w:cs="Arial"/>
          <w:sz w:val="24"/>
          <w:szCs w:val="24"/>
        </w:rPr>
      </w:pPr>
      <w:r w:rsidRPr="00CD728B">
        <w:rPr>
          <w:rFonts w:ascii="Arial Narrow" w:hAnsi="Arial Narrow" w:cs="Arial"/>
          <w:sz w:val="24"/>
          <w:szCs w:val="24"/>
        </w:rPr>
        <w:t xml:space="preserve">La sección novena se conforma por el </w:t>
      </w:r>
      <w:r w:rsidR="009D7771">
        <w:rPr>
          <w:rFonts w:ascii="Arial Narrow" w:hAnsi="Arial Narrow" w:cs="Arial"/>
          <w:sz w:val="24"/>
          <w:szCs w:val="24"/>
        </w:rPr>
        <w:t>Artículo</w:t>
      </w:r>
      <w:r w:rsidRPr="00CD728B">
        <w:rPr>
          <w:rFonts w:ascii="Arial Narrow" w:hAnsi="Arial Narrow" w:cs="Arial"/>
          <w:sz w:val="24"/>
          <w:szCs w:val="24"/>
        </w:rPr>
        <w:t xml:space="preserve"> 133 y hace referencia al Instituto de Transparencia, Acceso a la Información Pública, Protección de Datos Personales y Rendición de Cuentas de la Ciudad de México, en ésta se contempla que además de lo señalado en las obligaciones de transparencia comunes, el Instituto deberá de poner a disposición del público información referente a la relación de observaciones y resoluciones emitidas y el seguimiento a cada una de ellas, los criterios orientadores que deriven de sus resoluciones, estadísticas e indicadores sobre los medios de impugnación, los estudios que apoyan la resolución de los recursos de revisión, estadísticas sobre las solicitudes de información y datos personales, los resultados de la evaluación del cumplimiento de la Ley a los Sujetos Obligados, número de quejas, denuncias y recursos de revisión dirigidos a cada uno de los Sujetos Obligados, entre otros.</w:t>
      </w:r>
    </w:p>
    <w:p w:rsidR="005A0F6E" w:rsidRPr="00CD728B" w:rsidRDefault="005A0F6E" w:rsidP="002E7D47">
      <w:pPr>
        <w:autoSpaceDE w:val="0"/>
        <w:autoSpaceDN w:val="0"/>
        <w:adjustRightInd w:val="0"/>
        <w:spacing w:after="0" w:line="360" w:lineRule="auto"/>
        <w:contextualSpacing/>
        <w:jc w:val="both"/>
        <w:rPr>
          <w:rFonts w:ascii="Arial Narrow" w:hAnsi="Arial Narrow" w:cs="Arial"/>
          <w:sz w:val="24"/>
          <w:szCs w:val="24"/>
        </w:rPr>
      </w:pPr>
    </w:p>
    <w:p w:rsidR="005A0F6E" w:rsidRPr="00CD728B" w:rsidRDefault="005A0F6E" w:rsidP="002E7D47">
      <w:pPr>
        <w:autoSpaceDE w:val="0"/>
        <w:autoSpaceDN w:val="0"/>
        <w:adjustRightInd w:val="0"/>
        <w:spacing w:after="0" w:line="360" w:lineRule="auto"/>
        <w:contextualSpacing/>
        <w:jc w:val="both"/>
        <w:rPr>
          <w:rFonts w:ascii="Arial Narrow" w:hAnsi="Arial Narrow" w:cs="Arial"/>
          <w:sz w:val="24"/>
          <w:szCs w:val="24"/>
        </w:rPr>
      </w:pPr>
      <w:r w:rsidRPr="00CD728B">
        <w:rPr>
          <w:rFonts w:ascii="Arial Narrow" w:hAnsi="Arial Narrow" w:cs="Arial"/>
          <w:sz w:val="24"/>
          <w:szCs w:val="24"/>
        </w:rPr>
        <w:t xml:space="preserve">La sección décima está conformada por el </w:t>
      </w:r>
      <w:r w:rsidR="009D7771">
        <w:rPr>
          <w:rFonts w:ascii="Arial Narrow" w:hAnsi="Arial Narrow" w:cs="Arial"/>
          <w:sz w:val="24"/>
          <w:szCs w:val="24"/>
        </w:rPr>
        <w:t>Artículo</w:t>
      </w:r>
      <w:r w:rsidRPr="00CD728B">
        <w:rPr>
          <w:rFonts w:ascii="Arial Narrow" w:hAnsi="Arial Narrow" w:cs="Arial"/>
          <w:sz w:val="24"/>
          <w:szCs w:val="24"/>
        </w:rPr>
        <w:t xml:space="preserve"> 134 y hace referencia a la Universidad autónoma de la Ciudad de México, en esta sección se mandata la publicación de los planes y programas de </w:t>
      </w:r>
      <w:r w:rsidRPr="00CD728B">
        <w:rPr>
          <w:rFonts w:ascii="Arial Narrow" w:hAnsi="Arial Narrow" w:cs="Arial"/>
          <w:sz w:val="24"/>
          <w:szCs w:val="24"/>
        </w:rPr>
        <w:lastRenderedPageBreak/>
        <w:t xml:space="preserve">estudio, los procedimientos de admisión, indicadores de resultados, lista de profesores con licencia, remuneración de los profesores, listados de becas y apoyos, evaluación del cuerpo docente, calendario del ciclo escolar, entre otros. </w:t>
      </w:r>
    </w:p>
    <w:p w:rsidR="005A0F6E" w:rsidRPr="00CD728B" w:rsidRDefault="005A0F6E" w:rsidP="002E7D47">
      <w:pPr>
        <w:autoSpaceDE w:val="0"/>
        <w:autoSpaceDN w:val="0"/>
        <w:adjustRightInd w:val="0"/>
        <w:spacing w:after="0" w:line="360" w:lineRule="auto"/>
        <w:contextualSpacing/>
        <w:jc w:val="both"/>
        <w:rPr>
          <w:rFonts w:ascii="Arial Narrow" w:hAnsi="Arial Narrow" w:cs="Arial"/>
          <w:sz w:val="24"/>
          <w:szCs w:val="24"/>
        </w:rPr>
      </w:pPr>
    </w:p>
    <w:p w:rsidR="005A0F6E" w:rsidRPr="00CD728B" w:rsidRDefault="005A0F6E" w:rsidP="002E7D47">
      <w:pPr>
        <w:autoSpaceDE w:val="0"/>
        <w:autoSpaceDN w:val="0"/>
        <w:adjustRightInd w:val="0"/>
        <w:spacing w:after="0" w:line="360" w:lineRule="auto"/>
        <w:contextualSpacing/>
        <w:jc w:val="both"/>
        <w:rPr>
          <w:rFonts w:ascii="Arial Narrow" w:hAnsi="Arial Narrow" w:cs="Arial"/>
          <w:sz w:val="24"/>
          <w:szCs w:val="24"/>
        </w:rPr>
      </w:pPr>
      <w:r w:rsidRPr="00CD728B">
        <w:rPr>
          <w:rFonts w:ascii="Arial Narrow" w:hAnsi="Arial Narrow" w:cs="Arial"/>
          <w:sz w:val="24"/>
          <w:szCs w:val="24"/>
        </w:rPr>
        <w:t xml:space="preserve">La sección décima primera se conforma por los </w:t>
      </w:r>
      <w:r w:rsidR="009D7771">
        <w:rPr>
          <w:rFonts w:ascii="Arial Narrow" w:hAnsi="Arial Narrow" w:cs="Arial"/>
          <w:sz w:val="24"/>
          <w:szCs w:val="24"/>
        </w:rPr>
        <w:t>Artículo</w:t>
      </w:r>
      <w:r w:rsidRPr="00CD728B">
        <w:rPr>
          <w:rFonts w:ascii="Arial Narrow" w:hAnsi="Arial Narrow" w:cs="Arial"/>
          <w:sz w:val="24"/>
          <w:szCs w:val="24"/>
        </w:rPr>
        <w:t xml:space="preserve">s 135 y 136, los cuales hacen referencia a los Fideicomisos, Fondos Públicos y Otros Análogos. En el 135 se contempla el nombre de la persona servidora pública y de la persona física o moral que represente al fideicomitente, al fiduciario y al fideicomisario, la unidad administrativa responsable del fideicomiso, monto total, el uso y destino del patrimonio </w:t>
      </w:r>
      <w:proofErr w:type="spellStart"/>
      <w:r w:rsidRPr="00CD728B">
        <w:rPr>
          <w:rFonts w:ascii="Arial Narrow" w:hAnsi="Arial Narrow" w:cs="Arial"/>
          <w:sz w:val="24"/>
          <w:szCs w:val="24"/>
        </w:rPr>
        <w:t>fideicomitido</w:t>
      </w:r>
      <w:proofErr w:type="spellEnd"/>
      <w:r w:rsidRPr="00CD728B">
        <w:rPr>
          <w:rFonts w:ascii="Arial Narrow" w:hAnsi="Arial Narrow" w:cs="Arial"/>
          <w:sz w:val="24"/>
          <w:szCs w:val="24"/>
        </w:rPr>
        <w:t>, el padrón de beneficiarios en su caso, los contratos de obras, adquisiciones y servicios que involucren recursos públicos de fideicomiso, reglas de operación y normatividad interna del fideicomiso o fondo público, impacto social derivado del cumplimiento de las acciones que realiza el fideicomiso o fondo público, entre otros.</w:t>
      </w:r>
    </w:p>
    <w:p w:rsidR="005A0F6E" w:rsidRPr="00CD728B" w:rsidRDefault="005A0F6E" w:rsidP="002E7D47">
      <w:pPr>
        <w:autoSpaceDE w:val="0"/>
        <w:autoSpaceDN w:val="0"/>
        <w:adjustRightInd w:val="0"/>
        <w:spacing w:after="0" w:line="360" w:lineRule="auto"/>
        <w:contextualSpacing/>
        <w:jc w:val="both"/>
        <w:rPr>
          <w:rFonts w:ascii="Arial Narrow" w:hAnsi="Arial Narrow" w:cs="Arial"/>
          <w:sz w:val="24"/>
          <w:szCs w:val="24"/>
        </w:rPr>
      </w:pPr>
    </w:p>
    <w:p w:rsidR="005A0F6E" w:rsidRPr="00CD728B" w:rsidRDefault="005A0F6E" w:rsidP="002E7D47">
      <w:pPr>
        <w:autoSpaceDE w:val="0"/>
        <w:autoSpaceDN w:val="0"/>
        <w:adjustRightInd w:val="0"/>
        <w:spacing w:after="0" w:line="360" w:lineRule="auto"/>
        <w:contextualSpacing/>
        <w:jc w:val="both"/>
        <w:rPr>
          <w:rFonts w:ascii="Arial Narrow" w:hAnsi="Arial Narrow" w:cs="Arial"/>
          <w:sz w:val="24"/>
          <w:szCs w:val="24"/>
        </w:rPr>
      </w:pPr>
      <w:r w:rsidRPr="00CD728B">
        <w:rPr>
          <w:rFonts w:ascii="Arial Narrow" w:hAnsi="Arial Narrow" w:cs="Arial"/>
          <w:sz w:val="24"/>
          <w:szCs w:val="24"/>
        </w:rPr>
        <w:t xml:space="preserve">Por otra parte el </w:t>
      </w:r>
      <w:r w:rsidR="009D7771">
        <w:rPr>
          <w:rFonts w:ascii="Arial Narrow" w:hAnsi="Arial Narrow" w:cs="Arial"/>
          <w:sz w:val="24"/>
          <w:szCs w:val="24"/>
        </w:rPr>
        <w:t>Artículo</w:t>
      </w:r>
      <w:r w:rsidRPr="00CD728B">
        <w:rPr>
          <w:rFonts w:ascii="Arial Narrow" w:hAnsi="Arial Narrow" w:cs="Arial"/>
          <w:sz w:val="24"/>
          <w:szCs w:val="24"/>
        </w:rPr>
        <w:t xml:space="preserve"> 136 indica que con relación a los contratos de mandato y otros actos jurídicos con los cuales los Sujetos Obligados otorguen representación jurídica, los Sujetos Obligados deberán de mantener actualizada y para su consulta directa, cualquier tipo de instrucciones que el mandante exprese al mandatario o cualquier tipo de instrucciones relacionadas con el ejercicio de la facultad de representar, otorgada mediante otro acto jurídico.</w:t>
      </w:r>
    </w:p>
    <w:p w:rsidR="005A0F6E" w:rsidRPr="00CD728B" w:rsidRDefault="005A0F6E" w:rsidP="002E7D47">
      <w:pPr>
        <w:autoSpaceDE w:val="0"/>
        <w:autoSpaceDN w:val="0"/>
        <w:adjustRightInd w:val="0"/>
        <w:spacing w:after="0" w:line="360" w:lineRule="auto"/>
        <w:contextualSpacing/>
        <w:jc w:val="both"/>
        <w:rPr>
          <w:rFonts w:ascii="Arial Narrow" w:hAnsi="Arial Narrow" w:cs="Arial"/>
          <w:sz w:val="24"/>
          <w:szCs w:val="24"/>
        </w:rPr>
      </w:pPr>
    </w:p>
    <w:p w:rsidR="005A0F6E" w:rsidRPr="00CD728B" w:rsidRDefault="005A0F6E" w:rsidP="002E7D47">
      <w:pPr>
        <w:autoSpaceDE w:val="0"/>
        <w:autoSpaceDN w:val="0"/>
        <w:adjustRightInd w:val="0"/>
        <w:spacing w:after="0" w:line="360" w:lineRule="auto"/>
        <w:contextualSpacing/>
        <w:jc w:val="both"/>
        <w:rPr>
          <w:rFonts w:ascii="Arial Narrow" w:hAnsi="Arial Narrow" w:cs="Arial"/>
          <w:sz w:val="24"/>
          <w:szCs w:val="24"/>
        </w:rPr>
      </w:pPr>
      <w:r w:rsidRPr="00CD728B">
        <w:rPr>
          <w:rFonts w:ascii="Arial Narrow" w:hAnsi="Arial Narrow" w:cs="Arial"/>
          <w:sz w:val="24"/>
          <w:szCs w:val="24"/>
        </w:rPr>
        <w:t xml:space="preserve">La sección décimo segunda se conforma por el </w:t>
      </w:r>
      <w:r w:rsidR="009D7771">
        <w:rPr>
          <w:rFonts w:ascii="Arial Narrow" w:hAnsi="Arial Narrow" w:cs="Arial"/>
          <w:sz w:val="24"/>
          <w:szCs w:val="24"/>
        </w:rPr>
        <w:t>Artículo</w:t>
      </w:r>
      <w:r w:rsidRPr="00CD728B">
        <w:rPr>
          <w:rFonts w:ascii="Arial Narrow" w:hAnsi="Arial Narrow" w:cs="Arial"/>
          <w:sz w:val="24"/>
          <w:szCs w:val="24"/>
        </w:rPr>
        <w:t xml:space="preserve"> 137 y hace referencia a la Junta Local de Conciliación y Arbitraje, en ésta se contemplan obligaciones consistentes en publicar la relación de contratos colectivos de trabajo, los documentos de registro de los sindicatos. </w:t>
      </w:r>
    </w:p>
    <w:p w:rsidR="005A0F6E" w:rsidRPr="00CD728B" w:rsidRDefault="005A0F6E" w:rsidP="002E7D47">
      <w:pPr>
        <w:autoSpaceDE w:val="0"/>
        <w:autoSpaceDN w:val="0"/>
        <w:adjustRightInd w:val="0"/>
        <w:spacing w:after="0" w:line="360" w:lineRule="auto"/>
        <w:contextualSpacing/>
        <w:jc w:val="both"/>
        <w:rPr>
          <w:rFonts w:ascii="Arial Narrow" w:hAnsi="Arial Narrow" w:cs="Arial"/>
          <w:sz w:val="24"/>
          <w:szCs w:val="24"/>
        </w:rPr>
      </w:pPr>
    </w:p>
    <w:p w:rsidR="005A0F6E" w:rsidRPr="00CD728B" w:rsidRDefault="005A0F6E" w:rsidP="002E7D47">
      <w:pPr>
        <w:autoSpaceDE w:val="0"/>
        <w:autoSpaceDN w:val="0"/>
        <w:adjustRightInd w:val="0"/>
        <w:spacing w:after="0" w:line="360" w:lineRule="auto"/>
        <w:contextualSpacing/>
        <w:jc w:val="both"/>
        <w:rPr>
          <w:rFonts w:ascii="Arial Narrow" w:hAnsi="Arial Narrow" w:cs="Arial"/>
          <w:sz w:val="24"/>
          <w:szCs w:val="24"/>
        </w:rPr>
      </w:pPr>
      <w:r w:rsidRPr="00CD728B">
        <w:rPr>
          <w:rFonts w:ascii="Arial Narrow" w:hAnsi="Arial Narrow" w:cs="Arial"/>
          <w:sz w:val="24"/>
          <w:szCs w:val="24"/>
        </w:rPr>
        <w:t xml:space="preserve">La sección décimo tercera hace referencia a los Sindicatos y se integra por el </w:t>
      </w:r>
      <w:r w:rsidR="009D7771">
        <w:rPr>
          <w:rFonts w:ascii="Arial Narrow" w:hAnsi="Arial Narrow" w:cs="Arial"/>
          <w:sz w:val="24"/>
          <w:szCs w:val="24"/>
        </w:rPr>
        <w:t>Artículo</w:t>
      </w:r>
      <w:r w:rsidRPr="00CD728B">
        <w:rPr>
          <w:rFonts w:ascii="Arial Narrow" w:hAnsi="Arial Narrow" w:cs="Arial"/>
          <w:sz w:val="24"/>
          <w:szCs w:val="24"/>
        </w:rPr>
        <w:t xml:space="preserve"> 138, el cual mandata la publicación de los contratos y convenios entre sindicatos y autoridades, el directorio del Comité Ejecutivo, el padrón de socios o agremiados y la relación detallada de los servicios de los </w:t>
      </w:r>
      <w:r w:rsidRPr="00CD728B">
        <w:rPr>
          <w:rFonts w:ascii="Arial Narrow" w:hAnsi="Arial Narrow" w:cs="Arial"/>
          <w:sz w:val="24"/>
          <w:szCs w:val="24"/>
        </w:rPr>
        <w:lastRenderedPageBreak/>
        <w:t xml:space="preserve">recursos públicos económicos, en especie, bienes o donativos que reciban y el informe detallado del ejercicio y destino final de los recursos públicos que ejerzan. </w:t>
      </w:r>
    </w:p>
    <w:p w:rsidR="005A0F6E" w:rsidRPr="00CD728B" w:rsidRDefault="005A0F6E" w:rsidP="002E7D47">
      <w:pPr>
        <w:autoSpaceDE w:val="0"/>
        <w:autoSpaceDN w:val="0"/>
        <w:adjustRightInd w:val="0"/>
        <w:spacing w:after="0" w:line="360" w:lineRule="auto"/>
        <w:contextualSpacing/>
        <w:jc w:val="both"/>
        <w:rPr>
          <w:rFonts w:ascii="Arial Narrow" w:hAnsi="Arial Narrow" w:cs="Arial"/>
          <w:sz w:val="24"/>
          <w:szCs w:val="24"/>
        </w:rPr>
      </w:pPr>
    </w:p>
    <w:p w:rsidR="005A0F6E" w:rsidRPr="00CD728B" w:rsidRDefault="005A0F6E" w:rsidP="002E7D47">
      <w:pPr>
        <w:pStyle w:val="Ttulo2"/>
        <w:contextualSpacing/>
        <w:rPr>
          <w:rFonts w:ascii="Arial Narrow" w:hAnsi="Arial Narrow"/>
          <w:b/>
          <w:color w:val="auto"/>
          <w:sz w:val="24"/>
        </w:rPr>
      </w:pPr>
      <w:bookmarkStart w:id="8" w:name="_Toc14293709"/>
      <w:r w:rsidRPr="00CD728B">
        <w:rPr>
          <w:rFonts w:ascii="Arial Narrow" w:hAnsi="Arial Narrow"/>
          <w:b/>
          <w:color w:val="auto"/>
          <w:sz w:val="24"/>
        </w:rPr>
        <w:t>Disposiciones Particulares de la Ley de Transparencia Local</w:t>
      </w:r>
      <w:bookmarkEnd w:id="8"/>
    </w:p>
    <w:p w:rsidR="005A0F6E" w:rsidRPr="00CD728B" w:rsidRDefault="005A0F6E" w:rsidP="002E7D47">
      <w:pPr>
        <w:autoSpaceDE w:val="0"/>
        <w:autoSpaceDN w:val="0"/>
        <w:adjustRightInd w:val="0"/>
        <w:spacing w:after="0" w:line="360" w:lineRule="auto"/>
        <w:contextualSpacing/>
        <w:jc w:val="both"/>
        <w:rPr>
          <w:rFonts w:ascii="Arial Narrow" w:hAnsi="Arial Narrow" w:cs="Arial"/>
          <w:b/>
          <w:sz w:val="24"/>
          <w:szCs w:val="24"/>
        </w:rPr>
      </w:pPr>
    </w:p>
    <w:p w:rsidR="005A0F6E" w:rsidRPr="00CD728B" w:rsidRDefault="005A0F6E" w:rsidP="002E7D47">
      <w:pPr>
        <w:autoSpaceDE w:val="0"/>
        <w:autoSpaceDN w:val="0"/>
        <w:adjustRightInd w:val="0"/>
        <w:spacing w:after="0" w:line="360" w:lineRule="auto"/>
        <w:contextualSpacing/>
        <w:jc w:val="both"/>
        <w:rPr>
          <w:rFonts w:ascii="Arial Narrow" w:hAnsi="Arial Narrow" w:cs="Arial"/>
          <w:sz w:val="24"/>
          <w:szCs w:val="24"/>
        </w:rPr>
      </w:pPr>
      <w:r w:rsidRPr="00CD728B">
        <w:rPr>
          <w:rFonts w:ascii="Arial Narrow" w:hAnsi="Arial Narrow" w:cs="Arial"/>
          <w:sz w:val="24"/>
          <w:szCs w:val="24"/>
        </w:rPr>
        <w:t xml:space="preserve">Las disposiciones particulares son aquellas obligaciones que hacen referencia a la publicación de información complementaria a las obligaciones comunes y específicas. Estas disposiciones se integran por los siguientes </w:t>
      </w:r>
      <w:r w:rsidR="009D7771">
        <w:rPr>
          <w:rFonts w:ascii="Arial Narrow" w:hAnsi="Arial Narrow" w:cs="Arial"/>
          <w:sz w:val="24"/>
          <w:szCs w:val="24"/>
        </w:rPr>
        <w:t>Artículo</w:t>
      </w:r>
      <w:r w:rsidRPr="00CD728B">
        <w:rPr>
          <w:rFonts w:ascii="Arial Narrow" w:hAnsi="Arial Narrow" w:cs="Arial"/>
          <w:sz w:val="24"/>
          <w:szCs w:val="24"/>
        </w:rPr>
        <w:t xml:space="preserve">s: </w:t>
      </w:r>
    </w:p>
    <w:p w:rsidR="005A0F6E" w:rsidRPr="00CD728B" w:rsidRDefault="005A0F6E" w:rsidP="002E7D47">
      <w:pPr>
        <w:autoSpaceDE w:val="0"/>
        <w:autoSpaceDN w:val="0"/>
        <w:adjustRightInd w:val="0"/>
        <w:spacing w:after="0" w:line="360" w:lineRule="auto"/>
        <w:contextualSpacing/>
        <w:jc w:val="both"/>
        <w:rPr>
          <w:rFonts w:ascii="Arial Narrow" w:hAnsi="Arial Narrow" w:cs="Arial"/>
          <w:sz w:val="24"/>
          <w:szCs w:val="24"/>
        </w:rPr>
      </w:pPr>
    </w:p>
    <w:p w:rsidR="005A0F6E" w:rsidRPr="00CD728B" w:rsidRDefault="009D7771" w:rsidP="002E7D47">
      <w:pPr>
        <w:autoSpaceDE w:val="0"/>
        <w:autoSpaceDN w:val="0"/>
        <w:adjustRightInd w:val="0"/>
        <w:spacing w:after="0" w:line="360" w:lineRule="auto"/>
        <w:contextualSpacing/>
        <w:jc w:val="both"/>
        <w:rPr>
          <w:rFonts w:ascii="Arial Narrow" w:hAnsi="Arial Narrow" w:cs="Arial"/>
          <w:sz w:val="24"/>
          <w:szCs w:val="24"/>
        </w:rPr>
      </w:pPr>
      <w:r>
        <w:rPr>
          <w:rFonts w:ascii="Arial Narrow" w:hAnsi="Arial Narrow" w:cs="Arial"/>
          <w:sz w:val="24"/>
          <w:szCs w:val="24"/>
        </w:rPr>
        <w:t>Artículo</w:t>
      </w:r>
      <w:r w:rsidR="005A0F6E" w:rsidRPr="00CD728B">
        <w:rPr>
          <w:rFonts w:ascii="Arial Narrow" w:hAnsi="Arial Narrow" w:cs="Arial"/>
          <w:sz w:val="24"/>
          <w:szCs w:val="24"/>
        </w:rPr>
        <w:t xml:space="preserve"> 141 y 142 que hacen referencia a los resultados de las convocatorias a concurso o licitación de obras públicas, adquisiciones, arrendamientos, concesiones y prestación de servicios. </w:t>
      </w:r>
    </w:p>
    <w:p w:rsidR="005A0F6E" w:rsidRPr="00CD728B" w:rsidRDefault="005A0F6E" w:rsidP="002E7D47">
      <w:pPr>
        <w:autoSpaceDE w:val="0"/>
        <w:autoSpaceDN w:val="0"/>
        <w:adjustRightInd w:val="0"/>
        <w:spacing w:after="0" w:line="360" w:lineRule="auto"/>
        <w:contextualSpacing/>
        <w:jc w:val="both"/>
        <w:rPr>
          <w:rFonts w:ascii="Arial Narrow" w:hAnsi="Arial Narrow" w:cs="Arial"/>
          <w:sz w:val="24"/>
          <w:szCs w:val="24"/>
        </w:rPr>
      </w:pPr>
    </w:p>
    <w:p w:rsidR="005A0F6E" w:rsidRPr="00CD728B" w:rsidRDefault="009D7771" w:rsidP="002E7D47">
      <w:pPr>
        <w:autoSpaceDE w:val="0"/>
        <w:autoSpaceDN w:val="0"/>
        <w:adjustRightInd w:val="0"/>
        <w:spacing w:after="0" w:line="360" w:lineRule="auto"/>
        <w:contextualSpacing/>
        <w:jc w:val="both"/>
        <w:rPr>
          <w:rFonts w:ascii="Arial Narrow" w:hAnsi="Arial Narrow" w:cs="Arial"/>
          <w:sz w:val="24"/>
          <w:szCs w:val="24"/>
        </w:rPr>
      </w:pPr>
      <w:r>
        <w:rPr>
          <w:rFonts w:ascii="Arial Narrow" w:hAnsi="Arial Narrow" w:cs="Arial"/>
          <w:sz w:val="24"/>
          <w:szCs w:val="24"/>
        </w:rPr>
        <w:t>Artículo</w:t>
      </w:r>
      <w:r w:rsidR="005A0F6E" w:rsidRPr="00CD728B">
        <w:rPr>
          <w:rFonts w:ascii="Arial Narrow" w:hAnsi="Arial Narrow" w:cs="Arial"/>
          <w:sz w:val="24"/>
          <w:szCs w:val="24"/>
        </w:rPr>
        <w:t xml:space="preserve"> 143 el cual versa respecto de la información que brinden los Sujetos Obligados, en relación a la ejecución de obra pública por invitación restringida. </w:t>
      </w:r>
    </w:p>
    <w:p w:rsidR="005A0F6E" w:rsidRPr="00CD728B" w:rsidRDefault="005A0F6E" w:rsidP="002E7D47">
      <w:pPr>
        <w:autoSpaceDE w:val="0"/>
        <w:autoSpaceDN w:val="0"/>
        <w:adjustRightInd w:val="0"/>
        <w:spacing w:after="0" w:line="360" w:lineRule="auto"/>
        <w:contextualSpacing/>
        <w:jc w:val="both"/>
        <w:rPr>
          <w:rFonts w:ascii="Arial Narrow" w:hAnsi="Arial Narrow" w:cs="Arial"/>
          <w:sz w:val="24"/>
          <w:szCs w:val="24"/>
        </w:rPr>
      </w:pPr>
    </w:p>
    <w:p w:rsidR="005A0F6E" w:rsidRPr="00CD728B" w:rsidRDefault="009D7771" w:rsidP="002E7D47">
      <w:pPr>
        <w:autoSpaceDE w:val="0"/>
        <w:autoSpaceDN w:val="0"/>
        <w:adjustRightInd w:val="0"/>
        <w:spacing w:after="0" w:line="360" w:lineRule="auto"/>
        <w:contextualSpacing/>
        <w:jc w:val="both"/>
        <w:rPr>
          <w:rFonts w:ascii="Arial Narrow" w:hAnsi="Arial Narrow" w:cs="Arial"/>
          <w:sz w:val="24"/>
          <w:szCs w:val="24"/>
        </w:rPr>
      </w:pPr>
      <w:r>
        <w:rPr>
          <w:rFonts w:ascii="Arial Narrow" w:hAnsi="Arial Narrow" w:cs="Arial"/>
          <w:sz w:val="24"/>
          <w:szCs w:val="24"/>
        </w:rPr>
        <w:t>Artículo</w:t>
      </w:r>
      <w:r w:rsidR="005A0F6E" w:rsidRPr="00CD728B">
        <w:rPr>
          <w:rFonts w:ascii="Arial Narrow" w:hAnsi="Arial Narrow" w:cs="Arial"/>
          <w:sz w:val="24"/>
          <w:szCs w:val="24"/>
        </w:rPr>
        <w:t xml:space="preserve"> 144 el cual mandata que toda la información sea publicada en formatos abiertos y accesibles.</w:t>
      </w:r>
    </w:p>
    <w:p w:rsidR="005A0F6E" w:rsidRPr="00CD728B" w:rsidRDefault="005A0F6E" w:rsidP="002E7D47">
      <w:pPr>
        <w:autoSpaceDE w:val="0"/>
        <w:autoSpaceDN w:val="0"/>
        <w:adjustRightInd w:val="0"/>
        <w:spacing w:after="0" w:line="360" w:lineRule="auto"/>
        <w:contextualSpacing/>
        <w:jc w:val="both"/>
        <w:rPr>
          <w:rFonts w:ascii="Arial Narrow" w:hAnsi="Arial Narrow" w:cs="Arial"/>
          <w:sz w:val="24"/>
          <w:szCs w:val="24"/>
        </w:rPr>
      </w:pPr>
    </w:p>
    <w:p w:rsidR="005A0F6E" w:rsidRPr="00CD728B" w:rsidRDefault="009D7771" w:rsidP="002E7D47">
      <w:pPr>
        <w:autoSpaceDE w:val="0"/>
        <w:autoSpaceDN w:val="0"/>
        <w:adjustRightInd w:val="0"/>
        <w:spacing w:after="0" w:line="360" w:lineRule="auto"/>
        <w:contextualSpacing/>
        <w:jc w:val="both"/>
        <w:rPr>
          <w:rFonts w:ascii="Arial Narrow" w:hAnsi="Arial Narrow" w:cs="Arial"/>
          <w:sz w:val="24"/>
          <w:szCs w:val="24"/>
        </w:rPr>
      </w:pPr>
      <w:r>
        <w:rPr>
          <w:rFonts w:ascii="Arial Narrow" w:hAnsi="Arial Narrow" w:cs="Arial"/>
          <w:sz w:val="24"/>
          <w:szCs w:val="24"/>
        </w:rPr>
        <w:t>Artículo</w:t>
      </w:r>
      <w:r w:rsidR="005A0F6E" w:rsidRPr="00CD728B">
        <w:rPr>
          <w:rFonts w:ascii="Arial Narrow" w:hAnsi="Arial Narrow" w:cs="Arial"/>
          <w:sz w:val="24"/>
          <w:szCs w:val="24"/>
        </w:rPr>
        <w:t xml:space="preserve"> 145 que establece que todos los Sujetos Obligados deberán de tener un acceso directo dentro de su Portal Institucional a sus obligaciones de transparencia.</w:t>
      </w:r>
    </w:p>
    <w:p w:rsidR="005A0F6E" w:rsidRPr="00CD728B" w:rsidRDefault="005A0F6E" w:rsidP="002E7D47">
      <w:pPr>
        <w:autoSpaceDE w:val="0"/>
        <w:autoSpaceDN w:val="0"/>
        <w:adjustRightInd w:val="0"/>
        <w:spacing w:after="0" w:line="360" w:lineRule="auto"/>
        <w:contextualSpacing/>
        <w:jc w:val="both"/>
        <w:rPr>
          <w:rFonts w:ascii="Arial Narrow" w:hAnsi="Arial Narrow" w:cs="Arial"/>
          <w:sz w:val="24"/>
          <w:szCs w:val="24"/>
        </w:rPr>
      </w:pPr>
    </w:p>
    <w:p w:rsidR="005A0F6E" w:rsidRPr="00CD728B" w:rsidRDefault="009D7771" w:rsidP="002E7D47">
      <w:pPr>
        <w:autoSpaceDE w:val="0"/>
        <w:autoSpaceDN w:val="0"/>
        <w:adjustRightInd w:val="0"/>
        <w:spacing w:after="0" w:line="360" w:lineRule="auto"/>
        <w:contextualSpacing/>
        <w:jc w:val="both"/>
        <w:rPr>
          <w:rFonts w:ascii="Arial Narrow" w:hAnsi="Arial Narrow" w:cs="Arial"/>
          <w:sz w:val="24"/>
          <w:szCs w:val="24"/>
        </w:rPr>
      </w:pPr>
      <w:r>
        <w:rPr>
          <w:rFonts w:ascii="Arial Narrow" w:hAnsi="Arial Narrow" w:cs="Arial"/>
          <w:sz w:val="24"/>
          <w:szCs w:val="24"/>
        </w:rPr>
        <w:t>Artículo</w:t>
      </w:r>
      <w:r w:rsidR="005A0F6E" w:rsidRPr="00CD728B">
        <w:rPr>
          <w:rFonts w:ascii="Arial Narrow" w:hAnsi="Arial Narrow" w:cs="Arial"/>
          <w:sz w:val="24"/>
          <w:szCs w:val="24"/>
        </w:rPr>
        <w:t xml:space="preserve"> 146 el cual mandata la publicación de su calendario de actualización de las obligaciones de transparencia. </w:t>
      </w:r>
    </w:p>
    <w:p w:rsidR="005A0F6E" w:rsidRPr="00CD728B" w:rsidRDefault="005A0F6E" w:rsidP="002E7D47">
      <w:pPr>
        <w:autoSpaceDE w:val="0"/>
        <w:autoSpaceDN w:val="0"/>
        <w:adjustRightInd w:val="0"/>
        <w:spacing w:after="0" w:line="360" w:lineRule="auto"/>
        <w:contextualSpacing/>
        <w:jc w:val="both"/>
        <w:rPr>
          <w:rFonts w:ascii="Arial Narrow" w:hAnsi="Arial Narrow" w:cs="Arial"/>
          <w:sz w:val="24"/>
          <w:szCs w:val="24"/>
        </w:rPr>
      </w:pPr>
    </w:p>
    <w:p w:rsidR="00552574" w:rsidRDefault="009D7771" w:rsidP="00552574">
      <w:pPr>
        <w:autoSpaceDE w:val="0"/>
        <w:autoSpaceDN w:val="0"/>
        <w:adjustRightInd w:val="0"/>
        <w:spacing w:after="0" w:line="360" w:lineRule="auto"/>
        <w:contextualSpacing/>
        <w:jc w:val="both"/>
        <w:rPr>
          <w:rFonts w:ascii="Arial Narrow" w:hAnsi="Arial Narrow" w:cs="Arial"/>
          <w:sz w:val="24"/>
          <w:szCs w:val="24"/>
        </w:rPr>
      </w:pPr>
      <w:r>
        <w:rPr>
          <w:rFonts w:ascii="Arial Narrow" w:hAnsi="Arial Narrow" w:cs="Arial"/>
          <w:sz w:val="24"/>
          <w:szCs w:val="24"/>
        </w:rPr>
        <w:t>Artículo</w:t>
      </w:r>
      <w:r w:rsidR="005A0F6E" w:rsidRPr="00CD728B">
        <w:rPr>
          <w:rFonts w:ascii="Arial Narrow" w:hAnsi="Arial Narrow" w:cs="Arial"/>
          <w:sz w:val="24"/>
          <w:szCs w:val="24"/>
        </w:rPr>
        <w:t xml:space="preserve"> 147 señala que toda persona moral, organizaciones de la sociedad civil o sindicato que reciba recursos públicos deberá de proporcionar a los Sujetos Obligados de los que reciban la información relativa al uso, destino y actividades q</w:t>
      </w:r>
      <w:r w:rsidR="00552574">
        <w:rPr>
          <w:rFonts w:ascii="Arial Narrow" w:hAnsi="Arial Narrow" w:cs="Arial"/>
          <w:sz w:val="24"/>
          <w:szCs w:val="24"/>
        </w:rPr>
        <w:t>ue realicen con tales recursos.</w:t>
      </w:r>
    </w:p>
    <w:p w:rsidR="00552574" w:rsidRDefault="00552574" w:rsidP="00552574">
      <w:pPr>
        <w:autoSpaceDE w:val="0"/>
        <w:autoSpaceDN w:val="0"/>
        <w:adjustRightInd w:val="0"/>
        <w:spacing w:after="0" w:line="360" w:lineRule="auto"/>
        <w:contextualSpacing/>
        <w:jc w:val="both"/>
        <w:rPr>
          <w:rFonts w:ascii="Arial Narrow" w:hAnsi="Arial Narrow" w:cs="Arial"/>
          <w:sz w:val="24"/>
          <w:szCs w:val="24"/>
        </w:rPr>
      </w:pPr>
    </w:p>
    <w:p w:rsidR="00552574" w:rsidRPr="00552574" w:rsidRDefault="00552574" w:rsidP="00552574">
      <w:pPr>
        <w:pStyle w:val="Ttulo1"/>
        <w:jc w:val="both"/>
        <w:rPr>
          <w:rFonts w:ascii="Arial Narrow" w:hAnsi="Arial Narrow"/>
          <w:b/>
          <w:color w:val="auto"/>
          <w:sz w:val="24"/>
        </w:rPr>
      </w:pPr>
      <w:bookmarkStart w:id="9" w:name="_Toc14293710"/>
      <w:r w:rsidRPr="00552574">
        <w:rPr>
          <w:rFonts w:ascii="Arial Narrow" w:hAnsi="Arial Narrow"/>
          <w:b/>
          <w:color w:val="auto"/>
          <w:sz w:val="24"/>
        </w:rPr>
        <w:lastRenderedPageBreak/>
        <w:t>RESULTADOS GLOBALES DEL CUMPLIMIENTO DE LAS OBLIGACIONES DE TRANSPARENCIA DE LOS SUJETOS OBLIGADOS DE LA CIUDAD DE MÉXICO</w:t>
      </w:r>
      <w:bookmarkEnd w:id="9"/>
    </w:p>
    <w:p w:rsidR="00552574" w:rsidRPr="00552574" w:rsidRDefault="00552574" w:rsidP="00552574">
      <w:pPr>
        <w:autoSpaceDE w:val="0"/>
        <w:autoSpaceDN w:val="0"/>
        <w:adjustRightInd w:val="0"/>
        <w:spacing w:after="0" w:line="360" w:lineRule="auto"/>
        <w:contextualSpacing/>
        <w:jc w:val="center"/>
        <w:rPr>
          <w:rFonts w:ascii="Arial Narrow" w:hAnsi="Arial Narrow" w:cs="Arial"/>
          <w:b/>
          <w:sz w:val="24"/>
          <w:szCs w:val="24"/>
        </w:rPr>
      </w:pPr>
    </w:p>
    <w:p w:rsidR="00552574" w:rsidRDefault="00552574" w:rsidP="00552574">
      <w:pPr>
        <w:autoSpaceDE w:val="0"/>
        <w:autoSpaceDN w:val="0"/>
        <w:adjustRightInd w:val="0"/>
        <w:spacing w:after="0" w:line="360" w:lineRule="auto"/>
        <w:contextualSpacing/>
        <w:jc w:val="both"/>
        <w:rPr>
          <w:rFonts w:ascii="Arial Narrow" w:hAnsi="Arial Narrow" w:cs="Arial"/>
          <w:sz w:val="24"/>
          <w:szCs w:val="24"/>
        </w:rPr>
      </w:pPr>
      <w:r w:rsidRPr="00552574">
        <w:rPr>
          <w:rFonts w:ascii="Arial Narrow" w:hAnsi="Arial Narrow" w:cs="Arial"/>
          <w:sz w:val="24"/>
          <w:szCs w:val="24"/>
        </w:rPr>
        <w:t>Los resultados de la evaluación muestran un panorama complejo en lo que respecta al cumplimiento de las obligaciones establecidas por le Ley de Transparencia Local. Por una parte, siete sujetos obligados demostraron haber cumplido cabalmente con el piso mínimo establecido por la ley y que, en virtud de ellos alcanzaron los 100 puntos exigidos por la evaluación. Este conjunto de sujetos obligados equivale al 4.8% respecto de los 146 sujetos que integran el Padrón; lo que muestra que fue muy bajo el número sujetos obligado que logró cumplir totalmente. Asimismo, los siete entes públicos de referencia pertenecen a distintos ámbitos de gobierno, tales como la administración central, los organismos desconcentrados, los órganos autónomos y partidos políticos. Este resultado muestra que el cumplimiento es posible al margen del ámbito al que pertenezcan los sujetos.</w:t>
      </w:r>
    </w:p>
    <w:p w:rsidR="00552574" w:rsidRPr="00552574" w:rsidRDefault="00552574" w:rsidP="00552574">
      <w:pPr>
        <w:autoSpaceDE w:val="0"/>
        <w:autoSpaceDN w:val="0"/>
        <w:adjustRightInd w:val="0"/>
        <w:spacing w:after="0" w:line="360" w:lineRule="auto"/>
        <w:contextualSpacing/>
        <w:jc w:val="both"/>
        <w:rPr>
          <w:rFonts w:ascii="Arial Narrow" w:hAnsi="Arial Narrow" w:cs="Arial"/>
          <w:sz w:val="24"/>
          <w:szCs w:val="24"/>
        </w:rPr>
      </w:pPr>
    </w:p>
    <w:p w:rsidR="00552574" w:rsidRDefault="00552574" w:rsidP="00552574">
      <w:pPr>
        <w:spacing w:line="360" w:lineRule="auto"/>
        <w:contextualSpacing/>
        <w:jc w:val="both"/>
        <w:rPr>
          <w:rFonts w:ascii="Arial Narrow" w:hAnsi="Arial Narrow" w:cs="Arial"/>
          <w:sz w:val="24"/>
          <w:szCs w:val="24"/>
        </w:rPr>
      </w:pPr>
      <w:r w:rsidRPr="00552574">
        <w:rPr>
          <w:rFonts w:ascii="Arial Narrow" w:hAnsi="Arial Narrow" w:cs="Arial"/>
          <w:sz w:val="24"/>
          <w:szCs w:val="24"/>
        </w:rPr>
        <w:t>Los 139 sujetos obligados restantes no tuvieron un cumplimiento total de las disposiciones contenidas en la Ley de Transparencia Local. Esta situación constituye una seria llamada de atención en lo que atañe al compromiso de esos sujetos obligados con los principios que deben regir la actuación de los entes públicos en materia de transparencia y nos exige emprender acciones inmediatas para garantizar de manera efectiva el derecho constitucional de a</w:t>
      </w:r>
      <w:r>
        <w:rPr>
          <w:rFonts w:ascii="Arial Narrow" w:hAnsi="Arial Narrow" w:cs="Arial"/>
          <w:sz w:val="24"/>
          <w:szCs w:val="24"/>
        </w:rPr>
        <w:t>cceso a la información pública.</w:t>
      </w:r>
    </w:p>
    <w:p w:rsidR="00552574" w:rsidRPr="00552574" w:rsidRDefault="00552574" w:rsidP="00552574">
      <w:pPr>
        <w:spacing w:line="360" w:lineRule="auto"/>
        <w:contextualSpacing/>
        <w:jc w:val="both"/>
        <w:rPr>
          <w:rFonts w:ascii="Arial Narrow" w:hAnsi="Arial Narrow" w:cs="Arial"/>
          <w:sz w:val="24"/>
          <w:szCs w:val="24"/>
        </w:rPr>
      </w:pPr>
    </w:p>
    <w:p w:rsidR="00552574" w:rsidRDefault="00552574" w:rsidP="00552574">
      <w:pPr>
        <w:spacing w:line="360" w:lineRule="auto"/>
        <w:contextualSpacing/>
        <w:jc w:val="both"/>
        <w:rPr>
          <w:rFonts w:ascii="Arial Narrow" w:hAnsi="Arial Narrow" w:cs="Arial"/>
          <w:sz w:val="24"/>
          <w:szCs w:val="24"/>
        </w:rPr>
      </w:pPr>
      <w:r w:rsidRPr="00552574">
        <w:rPr>
          <w:rFonts w:ascii="Arial Narrow" w:hAnsi="Arial Narrow" w:cs="Arial"/>
          <w:sz w:val="24"/>
          <w:szCs w:val="24"/>
        </w:rPr>
        <w:t>Dicho lo anterior, es necesario distinguir que el nivel de incumplimiento es diferenciado. Por el diseño de la evaluación y su metodología, el IGOT puede asumir valores en el rango de 0 a 100 puntos, escala en la que el valor mínimo representa un incumplimiento total de las obligaciones correspondientes; valores superiores a 0 puntos y de hasta 59.99 puntos representan un grado parcial de incumplimiento de las obligaciones; y valores iguales o superiores a 60 puntos y menores a 100 puntos que hace referencia a un cumplimiento parcial de las obligaciones mínimas.</w:t>
      </w:r>
    </w:p>
    <w:p w:rsidR="00552574" w:rsidRPr="00552574" w:rsidRDefault="00552574" w:rsidP="00552574">
      <w:pPr>
        <w:spacing w:line="360" w:lineRule="auto"/>
        <w:contextualSpacing/>
        <w:jc w:val="both"/>
        <w:rPr>
          <w:rFonts w:ascii="Arial Narrow" w:hAnsi="Arial Narrow" w:cs="Arial"/>
          <w:sz w:val="24"/>
          <w:szCs w:val="24"/>
        </w:rPr>
      </w:pPr>
    </w:p>
    <w:p w:rsidR="00552574" w:rsidRDefault="00552574" w:rsidP="00552574">
      <w:pPr>
        <w:spacing w:line="360" w:lineRule="auto"/>
        <w:contextualSpacing/>
        <w:jc w:val="both"/>
        <w:rPr>
          <w:rFonts w:ascii="Arial Narrow" w:hAnsi="Arial Narrow" w:cs="Arial"/>
          <w:sz w:val="24"/>
          <w:szCs w:val="24"/>
        </w:rPr>
      </w:pPr>
      <w:r w:rsidRPr="00552574">
        <w:rPr>
          <w:rFonts w:ascii="Arial Narrow" w:hAnsi="Arial Narrow" w:cs="Arial"/>
          <w:sz w:val="24"/>
          <w:szCs w:val="24"/>
        </w:rPr>
        <w:lastRenderedPageBreak/>
        <w:t>El conjunto de sujetos obligados que menos omisiones registró, ubicándose en un cumplimiento parcial en la evaluación, se integra por 92 sujetos. De ellos, 18 forman parte de la Administración Pública Centralizada, 49 pertenecen al ámbito de Organismos Desconcentrados, Descentralizados, Paraestatales y Auxiliares, nueve fueron Delegaciones Políticas, actuales Alcaldías, los dos sujetos obligados pertenecientes al Poder Legislativos y al Poder Judicial respectivamente, cinco Órganos Autónomos, cuatro Partid</w:t>
      </w:r>
      <w:r>
        <w:rPr>
          <w:rFonts w:ascii="Arial Narrow" w:hAnsi="Arial Narrow" w:cs="Arial"/>
          <w:sz w:val="24"/>
          <w:szCs w:val="24"/>
        </w:rPr>
        <w:t>os Políticos y tres Sindicatos.</w:t>
      </w:r>
    </w:p>
    <w:p w:rsidR="00552574" w:rsidRPr="00552574" w:rsidRDefault="00552574" w:rsidP="00552574">
      <w:pPr>
        <w:spacing w:line="360" w:lineRule="auto"/>
        <w:contextualSpacing/>
        <w:jc w:val="both"/>
        <w:rPr>
          <w:rFonts w:ascii="Arial Narrow" w:hAnsi="Arial Narrow" w:cs="Arial"/>
          <w:sz w:val="24"/>
          <w:szCs w:val="24"/>
        </w:rPr>
      </w:pPr>
    </w:p>
    <w:p w:rsidR="00552574" w:rsidRDefault="00552574" w:rsidP="00552574">
      <w:pPr>
        <w:spacing w:line="360" w:lineRule="auto"/>
        <w:contextualSpacing/>
        <w:jc w:val="both"/>
        <w:rPr>
          <w:rFonts w:ascii="Arial Narrow" w:hAnsi="Arial Narrow" w:cs="Arial"/>
          <w:sz w:val="24"/>
          <w:szCs w:val="24"/>
        </w:rPr>
      </w:pPr>
      <w:r w:rsidRPr="00552574">
        <w:rPr>
          <w:rFonts w:ascii="Arial Narrow" w:hAnsi="Arial Narrow" w:cs="Arial"/>
          <w:sz w:val="24"/>
          <w:szCs w:val="24"/>
        </w:rPr>
        <w:t>Las áreas de oportunidad detectadas deben resultar un aliciente que les permita fortalecer los avances obtenidos y atender los aspectos que les impidieron, en esta ocasión, contar con el nivel de cumplimiento que nos exige la Ley. La información correspondiente muestra que un esfuerzo adicional puede fácilmente llevar a estos SO al nivel de cumplimiento que las personas esperan de ellos y que mandata la Ley de Transparencia Local.</w:t>
      </w:r>
    </w:p>
    <w:p w:rsidR="00552574" w:rsidRPr="00552574" w:rsidRDefault="00552574" w:rsidP="00552574">
      <w:pPr>
        <w:spacing w:line="360" w:lineRule="auto"/>
        <w:contextualSpacing/>
        <w:jc w:val="both"/>
        <w:rPr>
          <w:rFonts w:ascii="Arial Narrow" w:hAnsi="Arial Narrow" w:cs="Arial"/>
          <w:sz w:val="24"/>
          <w:szCs w:val="24"/>
        </w:rPr>
      </w:pPr>
    </w:p>
    <w:p w:rsidR="00552574" w:rsidRDefault="00552574" w:rsidP="00552574">
      <w:pPr>
        <w:spacing w:line="360" w:lineRule="auto"/>
        <w:contextualSpacing/>
        <w:jc w:val="both"/>
        <w:rPr>
          <w:rFonts w:ascii="Arial Narrow" w:hAnsi="Arial Narrow" w:cs="Arial"/>
          <w:sz w:val="24"/>
          <w:szCs w:val="24"/>
        </w:rPr>
      </w:pPr>
      <w:r w:rsidRPr="00552574">
        <w:rPr>
          <w:rFonts w:ascii="Arial Narrow" w:hAnsi="Arial Narrow" w:cs="Arial"/>
          <w:sz w:val="24"/>
          <w:szCs w:val="24"/>
        </w:rPr>
        <w:t>Finalmente, cabe señalar la existencia de 47 sujetos obligado cuyo nivel de cumplimento dista de ser el adecuado, ubicándose en un incumplimiento parcial. De ellos, tres sujetos pertenecen a la Administración Pública Centralizada, 14 forman parte de los Organismos Desconcentrados, Descentralizados, Paraestatales y Auxiliares, siete integran el rubro de Delegaciones Políticas, actuales Alcaldías, uno Órgano Autónomo, cuatro Part</w:t>
      </w:r>
      <w:r>
        <w:rPr>
          <w:rFonts w:ascii="Arial Narrow" w:hAnsi="Arial Narrow" w:cs="Arial"/>
          <w:sz w:val="24"/>
          <w:szCs w:val="24"/>
        </w:rPr>
        <w:t>idos Políticos y 18 Sindicatos.</w:t>
      </w:r>
    </w:p>
    <w:p w:rsidR="00552574" w:rsidRPr="00552574" w:rsidRDefault="00552574" w:rsidP="00552574">
      <w:pPr>
        <w:spacing w:line="360" w:lineRule="auto"/>
        <w:contextualSpacing/>
        <w:jc w:val="both"/>
        <w:rPr>
          <w:rFonts w:ascii="Arial Narrow" w:hAnsi="Arial Narrow" w:cs="Arial"/>
          <w:sz w:val="24"/>
          <w:szCs w:val="24"/>
        </w:rPr>
      </w:pPr>
    </w:p>
    <w:p w:rsidR="00552574" w:rsidRDefault="00552574" w:rsidP="00552574">
      <w:pPr>
        <w:spacing w:line="360" w:lineRule="auto"/>
        <w:contextualSpacing/>
        <w:jc w:val="both"/>
        <w:rPr>
          <w:rFonts w:ascii="Arial Narrow" w:hAnsi="Arial Narrow" w:cs="Arial"/>
          <w:sz w:val="24"/>
          <w:szCs w:val="24"/>
        </w:rPr>
      </w:pPr>
      <w:r w:rsidRPr="00552574">
        <w:rPr>
          <w:rFonts w:ascii="Arial Narrow" w:hAnsi="Arial Narrow" w:cs="Arial"/>
          <w:sz w:val="24"/>
          <w:szCs w:val="24"/>
        </w:rPr>
        <w:t>Las omisiones detectadas van desde sujetos obligados cuya información en los portales evaluados es notoriamente incompleta o desactualizada, a otros que apenas publicaron algo. Se identificaron obstáculos operativos, de información o en el desarrollo de las competencias necesarias para habilitar en cada uno de los sujetos obligados que integran este grupo las capacidades que permitan identificar las obligaciones, procedimientos y validaciones necesarias para dar cumplimiento a la Ley.</w:t>
      </w:r>
    </w:p>
    <w:p w:rsidR="00552574" w:rsidRPr="00552574" w:rsidRDefault="00552574" w:rsidP="00552574">
      <w:pPr>
        <w:spacing w:line="360" w:lineRule="auto"/>
        <w:contextualSpacing/>
        <w:jc w:val="both"/>
        <w:rPr>
          <w:rFonts w:ascii="Arial Narrow" w:hAnsi="Arial Narrow" w:cs="Arial"/>
          <w:sz w:val="24"/>
          <w:szCs w:val="24"/>
        </w:rPr>
      </w:pPr>
    </w:p>
    <w:p w:rsidR="00552574" w:rsidRDefault="00552574" w:rsidP="00552574">
      <w:pPr>
        <w:spacing w:line="360" w:lineRule="auto"/>
        <w:contextualSpacing/>
        <w:jc w:val="both"/>
        <w:rPr>
          <w:rFonts w:ascii="Arial Narrow" w:hAnsi="Arial Narrow" w:cs="Arial"/>
          <w:sz w:val="24"/>
          <w:szCs w:val="24"/>
        </w:rPr>
      </w:pPr>
      <w:r w:rsidRPr="00552574">
        <w:rPr>
          <w:rFonts w:ascii="Arial Narrow" w:hAnsi="Arial Narrow" w:cs="Arial"/>
          <w:sz w:val="24"/>
          <w:szCs w:val="24"/>
        </w:rPr>
        <w:t xml:space="preserve">Es necesario que exista voluntad política de las personas titulares de cada uno de estos sujetos, en primer lugar, con los derechos de las personas, usuarios de la información que en los hechos se les </w:t>
      </w:r>
      <w:r w:rsidRPr="00552574">
        <w:rPr>
          <w:rFonts w:ascii="Arial Narrow" w:hAnsi="Arial Narrow" w:cs="Arial"/>
          <w:sz w:val="24"/>
          <w:szCs w:val="24"/>
        </w:rPr>
        <w:lastRenderedPageBreak/>
        <w:t>está negando y que es de su propiedad. En este aspecto cabe recordar lo evidente: el cumplimiento de la ley no es negociable.</w:t>
      </w:r>
    </w:p>
    <w:p w:rsidR="00552574" w:rsidRPr="00552574" w:rsidRDefault="00552574" w:rsidP="00552574">
      <w:pPr>
        <w:spacing w:line="360" w:lineRule="auto"/>
        <w:contextualSpacing/>
        <w:jc w:val="both"/>
        <w:rPr>
          <w:rFonts w:ascii="Arial Narrow" w:hAnsi="Arial Narrow" w:cs="Arial"/>
          <w:sz w:val="24"/>
          <w:szCs w:val="24"/>
        </w:rPr>
      </w:pPr>
    </w:p>
    <w:p w:rsidR="00552574" w:rsidRDefault="00552574" w:rsidP="00552574">
      <w:pPr>
        <w:spacing w:line="360" w:lineRule="auto"/>
        <w:contextualSpacing/>
        <w:jc w:val="both"/>
        <w:rPr>
          <w:rFonts w:ascii="Arial Narrow" w:hAnsi="Arial Narrow" w:cs="Arial"/>
          <w:sz w:val="24"/>
          <w:szCs w:val="24"/>
        </w:rPr>
      </w:pPr>
      <w:r w:rsidRPr="00552574">
        <w:rPr>
          <w:rFonts w:ascii="Arial Narrow" w:hAnsi="Arial Narrow" w:cs="Arial"/>
          <w:sz w:val="24"/>
          <w:szCs w:val="24"/>
        </w:rPr>
        <w:t>Los resultados anteriormente expuestos se presentan en la siguiente tabla:</w:t>
      </w:r>
    </w:p>
    <w:p w:rsidR="00552574" w:rsidRPr="00552574" w:rsidRDefault="00552574" w:rsidP="00552574">
      <w:pPr>
        <w:spacing w:line="360" w:lineRule="auto"/>
        <w:contextualSpacing/>
        <w:jc w:val="both"/>
        <w:rPr>
          <w:rFonts w:ascii="Arial Narrow" w:hAnsi="Arial Narrow" w:cs="Arial"/>
          <w:sz w:val="24"/>
          <w:szCs w:val="24"/>
        </w:rPr>
      </w:pPr>
    </w:p>
    <w:tbl>
      <w:tblPr>
        <w:tblW w:w="9639" w:type="dxa"/>
        <w:tblInd w:w="-10" w:type="dxa"/>
        <w:tblLayout w:type="fixed"/>
        <w:tblCellMar>
          <w:left w:w="70" w:type="dxa"/>
          <w:right w:w="70" w:type="dxa"/>
        </w:tblCellMar>
        <w:tblLook w:val="04A0" w:firstRow="1" w:lastRow="0" w:firstColumn="1" w:lastColumn="0" w:noHBand="0" w:noVBand="1"/>
      </w:tblPr>
      <w:tblGrid>
        <w:gridCol w:w="1985"/>
        <w:gridCol w:w="1134"/>
        <w:gridCol w:w="1417"/>
        <w:gridCol w:w="1843"/>
        <w:gridCol w:w="1701"/>
        <w:gridCol w:w="1559"/>
      </w:tblGrid>
      <w:tr w:rsidR="00202C91" w:rsidTr="00202C91">
        <w:trPr>
          <w:trHeight w:val="170"/>
        </w:trPr>
        <w:tc>
          <w:tcPr>
            <w:tcW w:w="9639" w:type="dxa"/>
            <w:gridSpan w:val="6"/>
            <w:tcBorders>
              <w:top w:val="single" w:sz="8" w:space="0" w:color="000000"/>
              <w:left w:val="single" w:sz="8" w:space="0" w:color="000000"/>
              <w:bottom w:val="single" w:sz="8" w:space="0" w:color="000000"/>
              <w:right w:val="single" w:sz="8" w:space="0" w:color="000000"/>
            </w:tcBorders>
            <w:shd w:val="clear" w:color="000000" w:fill="FFFFFF"/>
            <w:vAlign w:val="center"/>
            <w:hideMark/>
          </w:tcPr>
          <w:p w:rsidR="00202C91" w:rsidRDefault="00202C91" w:rsidP="00202C91">
            <w:pPr>
              <w:jc w:val="center"/>
              <w:rPr>
                <w:rFonts w:ascii="Arial Narrow" w:hAnsi="Arial Narrow"/>
                <w:b/>
                <w:bCs/>
                <w:color w:val="000000"/>
              </w:rPr>
            </w:pPr>
            <w:r>
              <w:rPr>
                <w:rFonts w:ascii="Arial Narrow" w:hAnsi="Arial Narrow"/>
                <w:b/>
                <w:bCs/>
                <w:color w:val="000000"/>
                <w:lang w:val="es-ES"/>
              </w:rPr>
              <w:t>Rubros de cumplimiento de los Sujetos Obligados de la Ciudad de México</w:t>
            </w:r>
          </w:p>
        </w:tc>
      </w:tr>
      <w:tr w:rsidR="00202C91" w:rsidTr="00202C91">
        <w:trPr>
          <w:trHeight w:val="1134"/>
        </w:trPr>
        <w:tc>
          <w:tcPr>
            <w:tcW w:w="1985" w:type="dxa"/>
            <w:tcBorders>
              <w:top w:val="nil"/>
              <w:left w:val="single" w:sz="8" w:space="0" w:color="000000"/>
              <w:bottom w:val="single" w:sz="8" w:space="0" w:color="000000"/>
              <w:right w:val="single" w:sz="8" w:space="0" w:color="000000"/>
            </w:tcBorders>
            <w:shd w:val="clear" w:color="000000" w:fill="33CCCC"/>
            <w:vAlign w:val="center"/>
            <w:hideMark/>
          </w:tcPr>
          <w:p w:rsidR="00202C91" w:rsidRDefault="00202C91" w:rsidP="00D41C42">
            <w:pPr>
              <w:jc w:val="center"/>
              <w:rPr>
                <w:rFonts w:ascii="Arial Narrow" w:hAnsi="Arial Narrow"/>
                <w:b/>
                <w:bCs/>
                <w:color w:val="000000"/>
              </w:rPr>
            </w:pPr>
            <w:r>
              <w:rPr>
                <w:rFonts w:ascii="Arial Narrow" w:hAnsi="Arial Narrow"/>
                <w:b/>
                <w:bCs/>
                <w:color w:val="000000"/>
                <w:lang w:val="es-ES"/>
              </w:rPr>
              <w:t xml:space="preserve">Ámbito </w:t>
            </w:r>
          </w:p>
        </w:tc>
        <w:tc>
          <w:tcPr>
            <w:tcW w:w="1134" w:type="dxa"/>
            <w:tcBorders>
              <w:top w:val="nil"/>
              <w:left w:val="nil"/>
              <w:bottom w:val="single" w:sz="8" w:space="0" w:color="000000"/>
              <w:right w:val="single" w:sz="8" w:space="0" w:color="000000"/>
            </w:tcBorders>
            <w:shd w:val="clear" w:color="000000" w:fill="33CCCC"/>
            <w:vAlign w:val="center"/>
            <w:hideMark/>
          </w:tcPr>
          <w:p w:rsidR="00202C91" w:rsidRDefault="00202C91" w:rsidP="00D41C42">
            <w:pPr>
              <w:jc w:val="center"/>
              <w:rPr>
                <w:rFonts w:ascii="Arial Narrow" w:hAnsi="Arial Narrow"/>
                <w:b/>
                <w:bCs/>
                <w:color w:val="000000"/>
              </w:rPr>
            </w:pPr>
            <w:r>
              <w:rPr>
                <w:rFonts w:ascii="Arial Narrow" w:hAnsi="Arial Narrow"/>
                <w:b/>
                <w:bCs/>
                <w:color w:val="000000"/>
              </w:rPr>
              <w:t xml:space="preserve">Número total de Sujetos Obligados </w:t>
            </w:r>
          </w:p>
        </w:tc>
        <w:tc>
          <w:tcPr>
            <w:tcW w:w="1417" w:type="dxa"/>
            <w:tcBorders>
              <w:top w:val="nil"/>
              <w:left w:val="nil"/>
              <w:bottom w:val="single" w:sz="8" w:space="0" w:color="000000"/>
              <w:right w:val="single" w:sz="8" w:space="0" w:color="000000"/>
            </w:tcBorders>
            <w:shd w:val="clear" w:color="000000" w:fill="33CCCC"/>
            <w:vAlign w:val="center"/>
            <w:hideMark/>
          </w:tcPr>
          <w:p w:rsidR="00202C91" w:rsidRDefault="00202C91" w:rsidP="00D41C42">
            <w:pPr>
              <w:jc w:val="center"/>
              <w:rPr>
                <w:rFonts w:ascii="Arial Narrow" w:hAnsi="Arial Narrow"/>
                <w:b/>
                <w:bCs/>
                <w:color w:val="000000"/>
                <w:lang w:val="es-ES"/>
              </w:rPr>
            </w:pPr>
            <w:r>
              <w:rPr>
                <w:rFonts w:ascii="Arial Narrow" w:hAnsi="Arial Narrow"/>
                <w:b/>
                <w:bCs/>
                <w:color w:val="000000"/>
                <w:lang w:val="es-ES"/>
              </w:rPr>
              <w:t xml:space="preserve">Cumplimiento Total </w:t>
            </w:r>
          </w:p>
          <w:p w:rsidR="00202C91" w:rsidRDefault="00202C91" w:rsidP="00D41C42">
            <w:pPr>
              <w:jc w:val="center"/>
              <w:rPr>
                <w:rFonts w:ascii="Arial Narrow" w:hAnsi="Arial Narrow"/>
                <w:b/>
                <w:bCs/>
                <w:color w:val="000000"/>
              </w:rPr>
            </w:pPr>
            <w:r>
              <w:rPr>
                <w:rFonts w:ascii="Arial Narrow" w:hAnsi="Arial Narrow"/>
                <w:b/>
                <w:bCs/>
                <w:color w:val="000000"/>
                <w:lang w:val="es-ES"/>
              </w:rPr>
              <w:t>(100 puntos)</w:t>
            </w:r>
          </w:p>
        </w:tc>
        <w:tc>
          <w:tcPr>
            <w:tcW w:w="1843" w:type="dxa"/>
            <w:tcBorders>
              <w:top w:val="nil"/>
              <w:left w:val="nil"/>
              <w:bottom w:val="single" w:sz="8" w:space="0" w:color="000000"/>
              <w:right w:val="single" w:sz="8" w:space="0" w:color="000000"/>
            </w:tcBorders>
            <w:shd w:val="clear" w:color="000000" w:fill="33CCCC"/>
            <w:vAlign w:val="center"/>
            <w:hideMark/>
          </w:tcPr>
          <w:p w:rsidR="00202C91" w:rsidRDefault="00202C91" w:rsidP="00D41C42">
            <w:pPr>
              <w:jc w:val="center"/>
              <w:rPr>
                <w:rFonts w:ascii="Arial Narrow" w:hAnsi="Arial Narrow"/>
                <w:b/>
                <w:bCs/>
                <w:color w:val="000000"/>
                <w:lang w:val="es-ES"/>
              </w:rPr>
            </w:pPr>
            <w:r>
              <w:rPr>
                <w:rFonts w:ascii="Arial Narrow" w:hAnsi="Arial Narrow"/>
                <w:b/>
                <w:bCs/>
                <w:color w:val="000000"/>
                <w:lang w:val="es-ES"/>
              </w:rPr>
              <w:t xml:space="preserve">Cumplimiento parcial </w:t>
            </w:r>
          </w:p>
          <w:p w:rsidR="00202C91" w:rsidRDefault="00202C91" w:rsidP="00D41C42">
            <w:pPr>
              <w:jc w:val="center"/>
              <w:rPr>
                <w:rFonts w:ascii="Arial Narrow" w:hAnsi="Arial Narrow"/>
                <w:b/>
                <w:bCs/>
                <w:color w:val="000000"/>
              </w:rPr>
            </w:pPr>
            <w:r>
              <w:rPr>
                <w:rFonts w:ascii="Arial Narrow" w:hAnsi="Arial Narrow"/>
                <w:b/>
                <w:bCs/>
                <w:color w:val="000000"/>
                <w:lang w:val="es-ES"/>
              </w:rPr>
              <w:t>(60 a 99.99 puntos)</w:t>
            </w:r>
          </w:p>
        </w:tc>
        <w:tc>
          <w:tcPr>
            <w:tcW w:w="1701" w:type="dxa"/>
            <w:tcBorders>
              <w:top w:val="nil"/>
              <w:left w:val="nil"/>
              <w:bottom w:val="single" w:sz="8" w:space="0" w:color="000000"/>
              <w:right w:val="single" w:sz="8" w:space="0" w:color="000000"/>
            </w:tcBorders>
            <w:shd w:val="clear" w:color="000000" w:fill="33CCCC"/>
            <w:vAlign w:val="center"/>
            <w:hideMark/>
          </w:tcPr>
          <w:p w:rsidR="00202C91" w:rsidRDefault="00202C91" w:rsidP="00D41C42">
            <w:pPr>
              <w:jc w:val="center"/>
              <w:rPr>
                <w:rFonts w:ascii="Arial Narrow" w:hAnsi="Arial Narrow"/>
                <w:b/>
                <w:bCs/>
                <w:color w:val="000000"/>
                <w:lang w:val="es-ES"/>
              </w:rPr>
            </w:pPr>
            <w:r>
              <w:rPr>
                <w:rFonts w:ascii="Arial Narrow" w:hAnsi="Arial Narrow"/>
                <w:b/>
                <w:bCs/>
                <w:color w:val="000000"/>
                <w:lang w:val="es-ES"/>
              </w:rPr>
              <w:t xml:space="preserve">Incumplimiento parcial </w:t>
            </w:r>
          </w:p>
          <w:p w:rsidR="00202C91" w:rsidRDefault="00202C91" w:rsidP="00D41C42">
            <w:pPr>
              <w:jc w:val="center"/>
              <w:rPr>
                <w:rFonts w:ascii="Arial Narrow" w:hAnsi="Arial Narrow"/>
                <w:b/>
                <w:bCs/>
                <w:color w:val="000000"/>
              </w:rPr>
            </w:pPr>
            <w:r>
              <w:rPr>
                <w:rFonts w:ascii="Arial Narrow" w:hAnsi="Arial Narrow"/>
                <w:b/>
                <w:bCs/>
                <w:color w:val="000000"/>
                <w:lang w:val="es-ES"/>
              </w:rPr>
              <w:t>(1 a 59.99 puntos)</w:t>
            </w:r>
          </w:p>
        </w:tc>
        <w:tc>
          <w:tcPr>
            <w:tcW w:w="1559" w:type="dxa"/>
            <w:tcBorders>
              <w:top w:val="nil"/>
              <w:left w:val="nil"/>
              <w:bottom w:val="single" w:sz="8" w:space="0" w:color="000000"/>
              <w:right w:val="single" w:sz="8" w:space="0" w:color="000000"/>
            </w:tcBorders>
            <w:shd w:val="clear" w:color="000000" w:fill="33CCCC"/>
            <w:vAlign w:val="center"/>
            <w:hideMark/>
          </w:tcPr>
          <w:p w:rsidR="00202C91" w:rsidRDefault="00202C91" w:rsidP="00D41C42">
            <w:pPr>
              <w:jc w:val="center"/>
              <w:rPr>
                <w:rFonts w:ascii="Arial Narrow" w:hAnsi="Arial Narrow"/>
                <w:b/>
                <w:bCs/>
                <w:color w:val="000000"/>
                <w:lang w:val="es-ES"/>
              </w:rPr>
            </w:pPr>
            <w:r>
              <w:rPr>
                <w:rFonts w:ascii="Arial Narrow" w:hAnsi="Arial Narrow"/>
                <w:b/>
                <w:bCs/>
                <w:color w:val="000000"/>
                <w:lang w:val="es-ES"/>
              </w:rPr>
              <w:t xml:space="preserve">Incumplimiento total </w:t>
            </w:r>
          </w:p>
          <w:p w:rsidR="00202C91" w:rsidRDefault="00202C91" w:rsidP="00D41C42">
            <w:pPr>
              <w:jc w:val="center"/>
              <w:rPr>
                <w:rFonts w:ascii="Arial Narrow" w:hAnsi="Arial Narrow"/>
                <w:b/>
                <w:bCs/>
                <w:color w:val="000000"/>
              </w:rPr>
            </w:pPr>
            <w:r>
              <w:rPr>
                <w:rFonts w:ascii="Arial Narrow" w:hAnsi="Arial Narrow"/>
                <w:b/>
                <w:bCs/>
                <w:color w:val="000000"/>
                <w:lang w:val="es-ES"/>
              </w:rPr>
              <w:t xml:space="preserve">(0 puntos) </w:t>
            </w:r>
          </w:p>
        </w:tc>
      </w:tr>
      <w:tr w:rsidR="00202C91" w:rsidTr="00202C91">
        <w:trPr>
          <w:trHeight w:val="624"/>
        </w:trPr>
        <w:tc>
          <w:tcPr>
            <w:tcW w:w="1985" w:type="dxa"/>
            <w:tcBorders>
              <w:top w:val="nil"/>
              <w:left w:val="single" w:sz="8" w:space="0" w:color="000000"/>
              <w:bottom w:val="single" w:sz="8" w:space="0" w:color="000000"/>
              <w:right w:val="single" w:sz="8" w:space="0" w:color="000000"/>
            </w:tcBorders>
            <w:shd w:val="clear" w:color="000000" w:fill="FFFFFF"/>
            <w:vAlign w:val="center"/>
            <w:hideMark/>
          </w:tcPr>
          <w:p w:rsidR="00202C91" w:rsidRDefault="00202C91" w:rsidP="00D41C42">
            <w:pPr>
              <w:rPr>
                <w:rFonts w:ascii="Arial Narrow" w:hAnsi="Arial Narrow"/>
                <w:b/>
                <w:bCs/>
                <w:color w:val="000000"/>
              </w:rPr>
            </w:pPr>
            <w:r>
              <w:rPr>
                <w:rFonts w:ascii="Arial Narrow" w:hAnsi="Arial Narrow"/>
                <w:b/>
                <w:bCs/>
                <w:color w:val="000000"/>
                <w:lang w:val="es-ES"/>
              </w:rPr>
              <w:t>Administración Pública Centralizada.</w:t>
            </w:r>
          </w:p>
        </w:tc>
        <w:tc>
          <w:tcPr>
            <w:tcW w:w="1134" w:type="dxa"/>
            <w:tcBorders>
              <w:top w:val="nil"/>
              <w:left w:val="nil"/>
              <w:bottom w:val="single" w:sz="8" w:space="0" w:color="000000"/>
              <w:right w:val="single" w:sz="8" w:space="0" w:color="000000"/>
            </w:tcBorders>
            <w:shd w:val="clear" w:color="000000" w:fill="FFFFFF"/>
            <w:vAlign w:val="center"/>
            <w:hideMark/>
          </w:tcPr>
          <w:p w:rsidR="00202C91" w:rsidRDefault="00202C91" w:rsidP="00D41C42">
            <w:pPr>
              <w:jc w:val="center"/>
              <w:rPr>
                <w:rFonts w:ascii="Arial Narrow" w:hAnsi="Arial Narrow"/>
                <w:b/>
                <w:bCs/>
                <w:color w:val="000000"/>
              </w:rPr>
            </w:pPr>
            <w:r>
              <w:rPr>
                <w:rFonts w:ascii="Arial Narrow" w:hAnsi="Arial Narrow"/>
                <w:b/>
                <w:bCs/>
                <w:color w:val="000000"/>
              </w:rPr>
              <w:t>23</w:t>
            </w:r>
          </w:p>
        </w:tc>
        <w:tc>
          <w:tcPr>
            <w:tcW w:w="1417" w:type="dxa"/>
            <w:tcBorders>
              <w:top w:val="nil"/>
              <w:left w:val="nil"/>
              <w:bottom w:val="single" w:sz="8" w:space="0" w:color="000000"/>
              <w:right w:val="single" w:sz="8" w:space="0" w:color="000000"/>
            </w:tcBorders>
            <w:shd w:val="clear" w:color="auto" w:fill="auto"/>
            <w:vAlign w:val="center"/>
            <w:hideMark/>
          </w:tcPr>
          <w:p w:rsidR="00202C91" w:rsidRDefault="00202C91" w:rsidP="00D41C42">
            <w:pPr>
              <w:jc w:val="center"/>
              <w:rPr>
                <w:rFonts w:ascii="Arial Narrow" w:hAnsi="Arial Narrow"/>
                <w:color w:val="000000"/>
              </w:rPr>
            </w:pPr>
            <w:r>
              <w:rPr>
                <w:rFonts w:ascii="Arial Narrow" w:hAnsi="Arial Narrow"/>
                <w:color w:val="000000"/>
                <w:lang w:val="es-ES"/>
              </w:rPr>
              <w:t>2</w:t>
            </w:r>
          </w:p>
        </w:tc>
        <w:tc>
          <w:tcPr>
            <w:tcW w:w="1843" w:type="dxa"/>
            <w:tcBorders>
              <w:top w:val="nil"/>
              <w:left w:val="nil"/>
              <w:bottom w:val="single" w:sz="8" w:space="0" w:color="000000"/>
              <w:right w:val="single" w:sz="8" w:space="0" w:color="000000"/>
            </w:tcBorders>
            <w:shd w:val="clear" w:color="auto" w:fill="auto"/>
            <w:vAlign w:val="center"/>
            <w:hideMark/>
          </w:tcPr>
          <w:p w:rsidR="00202C91" w:rsidRDefault="00202C91" w:rsidP="00D41C42">
            <w:pPr>
              <w:jc w:val="center"/>
              <w:rPr>
                <w:rFonts w:ascii="Arial Narrow" w:hAnsi="Arial Narrow"/>
                <w:color w:val="000000"/>
              </w:rPr>
            </w:pPr>
            <w:r>
              <w:rPr>
                <w:rFonts w:ascii="Arial Narrow" w:hAnsi="Arial Narrow"/>
                <w:color w:val="000000"/>
                <w:lang w:val="es-ES"/>
              </w:rPr>
              <w:t>18</w:t>
            </w:r>
          </w:p>
        </w:tc>
        <w:tc>
          <w:tcPr>
            <w:tcW w:w="1701" w:type="dxa"/>
            <w:tcBorders>
              <w:top w:val="nil"/>
              <w:left w:val="nil"/>
              <w:bottom w:val="single" w:sz="8" w:space="0" w:color="000000"/>
              <w:right w:val="single" w:sz="8" w:space="0" w:color="000000"/>
            </w:tcBorders>
            <w:shd w:val="clear" w:color="auto" w:fill="auto"/>
            <w:vAlign w:val="center"/>
            <w:hideMark/>
          </w:tcPr>
          <w:p w:rsidR="00202C91" w:rsidRDefault="00202C91" w:rsidP="00D41C42">
            <w:pPr>
              <w:jc w:val="center"/>
              <w:rPr>
                <w:rFonts w:ascii="Arial Narrow" w:hAnsi="Arial Narrow"/>
                <w:color w:val="000000"/>
              </w:rPr>
            </w:pPr>
            <w:r>
              <w:rPr>
                <w:rFonts w:ascii="Arial Narrow" w:hAnsi="Arial Narrow"/>
                <w:color w:val="000000"/>
                <w:lang w:val="es-ES"/>
              </w:rPr>
              <w:t>3</w:t>
            </w:r>
          </w:p>
        </w:tc>
        <w:tc>
          <w:tcPr>
            <w:tcW w:w="1559" w:type="dxa"/>
            <w:tcBorders>
              <w:top w:val="nil"/>
              <w:left w:val="nil"/>
              <w:bottom w:val="single" w:sz="8" w:space="0" w:color="000000"/>
              <w:right w:val="single" w:sz="8" w:space="0" w:color="000000"/>
            </w:tcBorders>
            <w:shd w:val="clear" w:color="auto" w:fill="auto"/>
            <w:vAlign w:val="center"/>
            <w:hideMark/>
          </w:tcPr>
          <w:p w:rsidR="00202C91" w:rsidRDefault="00202C91" w:rsidP="00D41C42">
            <w:pPr>
              <w:jc w:val="center"/>
              <w:rPr>
                <w:rFonts w:ascii="Arial Narrow" w:hAnsi="Arial Narrow"/>
                <w:color w:val="000000"/>
              </w:rPr>
            </w:pPr>
            <w:r>
              <w:rPr>
                <w:rFonts w:ascii="Arial Narrow" w:hAnsi="Arial Narrow"/>
                <w:color w:val="000000"/>
                <w:lang w:val="es-ES"/>
              </w:rPr>
              <w:t>0</w:t>
            </w:r>
          </w:p>
        </w:tc>
      </w:tr>
      <w:tr w:rsidR="00202C91" w:rsidTr="00202C91">
        <w:trPr>
          <w:trHeight w:val="1304"/>
        </w:trPr>
        <w:tc>
          <w:tcPr>
            <w:tcW w:w="1985" w:type="dxa"/>
            <w:vMerge w:val="restart"/>
            <w:tcBorders>
              <w:top w:val="nil"/>
              <w:left w:val="single" w:sz="8" w:space="0" w:color="000000"/>
              <w:bottom w:val="single" w:sz="8" w:space="0" w:color="000000"/>
              <w:right w:val="single" w:sz="8" w:space="0" w:color="000000"/>
            </w:tcBorders>
            <w:shd w:val="clear" w:color="000000" w:fill="FFFFFF"/>
            <w:vAlign w:val="center"/>
            <w:hideMark/>
          </w:tcPr>
          <w:p w:rsidR="00202C91" w:rsidRDefault="00202C91" w:rsidP="00D41C42">
            <w:pPr>
              <w:rPr>
                <w:rFonts w:ascii="Arial Narrow" w:hAnsi="Arial Narrow"/>
                <w:b/>
                <w:bCs/>
                <w:color w:val="000000"/>
              </w:rPr>
            </w:pPr>
            <w:r>
              <w:rPr>
                <w:rFonts w:ascii="Arial Narrow" w:hAnsi="Arial Narrow"/>
                <w:b/>
                <w:bCs/>
                <w:color w:val="000000"/>
                <w:lang w:val="es-ES"/>
              </w:rPr>
              <w:t>Desconcentrados y Paraestatales (Descentralizados, Auxiliares, Fondos y Fideicomisos)</w:t>
            </w:r>
          </w:p>
        </w:tc>
        <w:tc>
          <w:tcPr>
            <w:tcW w:w="1134" w:type="dxa"/>
            <w:vMerge w:val="restart"/>
            <w:tcBorders>
              <w:top w:val="nil"/>
              <w:left w:val="single" w:sz="8" w:space="0" w:color="000000"/>
              <w:bottom w:val="single" w:sz="8" w:space="0" w:color="000000"/>
              <w:right w:val="single" w:sz="8" w:space="0" w:color="000000"/>
            </w:tcBorders>
            <w:shd w:val="clear" w:color="000000" w:fill="FFFFFF"/>
            <w:vAlign w:val="center"/>
            <w:hideMark/>
          </w:tcPr>
          <w:p w:rsidR="00202C91" w:rsidRDefault="00202C91" w:rsidP="00D41C42">
            <w:pPr>
              <w:jc w:val="center"/>
              <w:rPr>
                <w:rFonts w:ascii="Arial Narrow" w:hAnsi="Arial Narrow"/>
                <w:b/>
                <w:bCs/>
                <w:color w:val="000000"/>
              </w:rPr>
            </w:pPr>
            <w:r>
              <w:rPr>
                <w:rFonts w:ascii="Arial Narrow" w:hAnsi="Arial Narrow"/>
                <w:b/>
                <w:bCs/>
                <w:color w:val="000000"/>
              </w:rPr>
              <w:t>65</w:t>
            </w:r>
          </w:p>
        </w:tc>
        <w:tc>
          <w:tcPr>
            <w:tcW w:w="1417" w:type="dxa"/>
            <w:vMerge w:val="restart"/>
            <w:tcBorders>
              <w:top w:val="nil"/>
              <w:left w:val="single" w:sz="8" w:space="0" w:color="000000"/>
              <w:bottom w:val="single" w:sz="8" w:space="0" w:color="000000"/>
              <w:right w:val="single" w:sz="8" w:space="0" w:color="000000"/>
            </w:tcBorders>
            <w:shd w:val="clear" w:color="auto" w:fill="auto"/>
            <w:vAlign w:val="center"/>
            <w:hideMark/>
          </w:tcPr>
          <w:p w:rsidR="00202C91" w:rsidRDefault="00202C91" w:rsidP="00D41C42">
            <w:pPr>
              <w:jc w:val="center"/>
              <w:rPr>
                <w:rFonts w:ascii="Arial Narrow" w:hAnsi="Arial Narrow"/>
                <w:color w:val="000000"/>
              </w:rPr>
            </w:pPr>
            <w:r>
              <w:rPr>
                <w:rFonts w:ascii="Arial Narrow" w:hAnsi="Arial Narrow"/>
                <w:color w:val="000000"/>
                <w:lang w:val="es-ES"/>
              </w:rPr>
              <w:t>2</w:t>
            </w:r>
          </w:p>
        </w:tc>
        <w:tc>
          <w:tcPr>
            <w:tcW w:w="1843" w:type="dxa"/>
            <w:vMerge w:val="restart"/>
            <w:tcBorders>
              <w:top w:val="nil"/>
              <w:left w:val="single" w:sz="8" w:space="0" w:color="000000"/>
              <w:bottom w:val="single" w:sz="8" w:space="0" w:color="000000"/>
              <w:right w:val="single" w:sz="8" w:space="0" w:color="000000"/>
            </w:tcBorders>
            <w:shd w:val="clear" w:color="auto" w:fill="auto"/>
            <w:vAlign w:val="center"/>
            <w:hideMark/>
          </w:tcPr>
          <w:p w:rsidR="00202C91" w:rsidRDefault="00202C91" w:rsidP="00D41C42">
            <w:pPr>
              <w:jc w:val="center"/>
              <w:rPr>
                <w:rFonts w:ascii="Arial Narrow" w:hAnsi="Arial Narrow"/>
                <w:color w:val="000000"/>
              </w:rPr>
            </w:pPr>
            <w:r>
              <w:rPr>
                <w:rFonts w:ascii="Arial Narrow" w:hAnsi="Arial Narrow"/>
                <w:color w:val="000000"/>
                <w:lang w:val="es-ES"/>
              </w:rPr>
              <w:t>49</w:t>
            </w:r>
          </w:p>
        </w:tc>
        <w:tc>
          <w:tcPr>
            <w:tcW w:w="1701" w:type="dxa"/>
            <w:vMerge w:val="restart"/>
            <w:tcBorders>
              <w:top w:val="nil"/>
              <w:left w:val="single" w:sz="8" w:space="0" w:color="000000"/>
              <w:bottom w:val="single" w:sz="8" w:space="0" w:color="000000"/>
              <w:right w:val="single" w:sz="8" w:space="0" w:color="000000"/>
            </w:tcBorders>
            <w:shd w:val="clear" w:color="auto" w:fill="auto"/>
            <w:vAlign w:val="center"/>
            <w:hideMark/>
          </w:tcPr>
          <w:p w:rsidR="00202C91" w:rsidRDefault="00202C91" w:rsidP="00D41C42">
            <w:pPr>
              <w:jc w:val="center"/>
              <w:rPr>
                <w:rFonts w:ascii="Arial Narrow" w:hAnsi="Arial Narrow"/>
                <w:color w:val="000000"/>
              </w:rPr>
            </w:pPr>
            <w:r>
              <w:rPr>
                <w:rFonts w:ascii="Arial Narrow" w:hAnsi="Arial Narrow"/>
                <w:color w:val="000000"/>
                <w:lang w:val="es-ES"/>
              </w:rPr>
              <w:t>14</w:t>
            </w:r>
          </w:p>
        </w:tc>
        <w:tc>
          <w:tcPr>
            <w:tcW w:w="1559" w:type="dxa"/>
            <w:vMerge w:val="restart"/>
            <w:tcBorders>
              <w:top w:val="nil"/>
              <w:left w:val="single" w:sz="8" w:space="0" w:color="000000"/>
              <w:bottom w:val="single" w:sz="8" w:space="0" w:color="000000"/>
              <w:right w:val="single" w:sz="8" w:space="0" w:color="000000"/>
            </w:tcBorders>
            <w:shd w:val="clear" w:color="auto" w:fill="auto"/>
            <w:vAlign w:val="center"/>
            <w:hideMark/>
          </w:tcPr>
          <w:p w:rsidR="00202C91" w:rsidRDefault="00202C91" w:rsidP="00D41C42">
            <w:pPr>
              <w:jc w:val="center"/>
              <w:rPr>
                <w:rFonts w:ascii="Arial Narrow" w:hAnsi="Arial Narrow"/>
                <w:color w:val="000000"/>
              </w:rPr>
            </w:pPr>
            <w:r>
              <w:rPr>
                <w:rFonts w:ascii="Arial Narrow" w:hAnsi="Arial Narrow"/>
                <w:color w:val="000000"/>
                <w:lang w:val="es-ES"/>
              </w:rPr>
              <w:t>0</w:t>
            </w:r>
          </w:p>
        </w:tc>
      </w:tr>
      <w:tr w:rsidR="00202C91" w:rsidTr="00202C91">
        <w:trPr>
          <w:trHeight w:val="432"/>
        </w:trPr>
        <w:tc>
          <w:tcPr>
            <w:tcW w:w="1985" w:type="dxa"/>
            <w:vMerge/>
            <w:tcBorders>
              <w:top w:val="nil"/>
              <w:left w:val="single" w:sz="8" w:space="0" w:color="000000"/>
              <w:bottom w:val="single" w:sz="8" w:space="0" w:color="000000"/>
              <w:right w:val="single" w:sz="8" w:space="0" w:color="000000"/>
            </w:tcBorders>
            <w:vAlign w:val="center"/>
            <w:hideMark/>
          </w:tcPr>
          <w:p w:rsidR="00202C91" w:rsidRDefault="00202C91" w:rsidP="00D41C42">
            <w:pPr>
              <w:rPr>
                <w:rFonts w:ascii="Arial Narrow" w:hAnsi="Arial Narrow"/>
                <w:b/>
                <w:bCs/>
                <w:color w:val="000000"/>
              </w:rPr>
            </w:pPr>
          </w:p>
        </w:tc>
        <w:tc>
          <w:tcPr>
            <w:tcW w:w="1134" w:type="dxa"/>
            <w:vMerge/>
            <w:tcBorders>
              <w:top w:val="nil"/>
              <w:left w:val="single" w:sz="8" w:space="0" w:color="000000"/>
              <w:bottom w:val="single" w:sz="8" w:space="0" w:color="000000"/>
              <w:right w:val="single" w:sz="8" w:space="0" w:color="000000"/>
            </w:tcBorders>
            <w:vAlign w:val="center"/>
            <w:hideMark/>
          </w:tcPr>
          <w:p w:rsidR="00202C91" w:rsidRDefault="00202C91" w:rsidP="00D41C42">
            <w:pPr>
              <w:jc w:val="center"/>
              <w:rPr>
                <w:rFonts w:ascii="Arial Narrow" w:hAnsi="Arial Narrow"/>
                <w:b/>
                <w:bCs/>
                <w:color w:val="000000"/>
              </w:rPr>
            </w:pPr>
          </w:p>
        </w:tc>
        <w:tc>
          <w:tcPr>
            <w:tcW w:w="1417" w:type="dxa"/>
            <w:vMerge/>
            <w:tcBorders>
              <w:top w:val="nil"/>
              <w:left w:val="single" w:sz="8" w:space="0" w:color="000000"/>
              <w:bottom w:val="single" w:sz="8" w:space="0" w:color="000000"/>
              <w:right w:val="single" w:sz="8" w:space="0" w:color="000000"/>
            </w:tcBorders>
            <w:vAlign w:val="center"/>
            <w:hideMark/>
          </w:tcPr>
          <w:p w:rsidR="00202C91" w:rsidRDefault="00202C91" w:rsidP="00D41C42">
            <w:pPr>
              <w:jc w:val="center"/>
              <w:rPr>
                <w:rFonts w:ascii="Arial Narrow" w:hAnsi="Arial Narrow"/>
                <w:color w:val="000000"/>
              </w:rPr>
            </w:pPr>
          </w:p>
        </w:tc>
        <w:tc>
          <w:tcPr>
            <w:tcW w:w="1843" w:type="dxa"/>
            <w:vMerge/>
            <w:tcBorders>
              <w:top w:val="nil"/>
              <w:left w:val="single" w:sz="8" w:space="0" w:color="000000"/>
              <w:bottom w:val="single" w:sz="8" w:space="0" w:color="000000"/>
              <w:right w:val="single" w:sz="8" w:space="0" w:color="000000"/>
            </w:tcBorders>
            <w:vAlign w:val="center"/>
            <w:hideMark/>
          </w:tcPr>
          <w:p w:rsidR="00202C91" w:rsidRDefault="00202C91" w:rsidP="00D41C42">
            <w:pPr>
              <w:jc w:val="center"/>
              <w:rPr>
                <w:rFonts w:ascii="Arial Narrow" w:hAnsi="Arial Narrow"/>
                <w:color w:val="000000"/>
              </w:rPr>
            </w:pPr>
          </w:p>
        </w:tc>
        <w:tc>
          <w:tcPr>
            <w:tcW w:w="1701" w:type="dxa"/>
            <w:vMerge/>
            <w:tcBorders>
              <w:top w:val="nil"/>
              <w:left w:val="single" w:sz="8" w:space="0" w:color="000000"/>
              <w:bottom w:val="single" w:sz="8" w:space="0" w:color="000000"/>
              <w:right w:val="single" w:sz="8" w:space="0" w:color="000000"/>
            </w:tcBorders>
            <w:vAlign w:val="center"/>
            <w:hideMark/>
          </w:tcPr>
          <w:p w:rsidR="00202C91" w:rsidRDefault="00202C91" w:rsidP="00D41C42">
            <w:pPr>
              <w:jc w:val="center"/>
              <w:rPr>
                <w:rFonts w:ascii="Arial Narrow" w:hAnsi="Arial Narrow"/>
                <w:color w:val="000000"/>
              </w:rPr>
            </w:pPr>
          </w:p>
        </w:tc>
        <w:tc>
          <w:tcPr>
            <w:tcW w:w="1559" w:type="dxa"/>
            <w:vMerge/>
            <w:tcBorders>
              <w:top w:val="nil"/>
              <w:left w:val="single" w:sz="8" w:space="0" w:color="000000"/>
              <w:bottom w:val="single" w:sz="8" w:space="0" w:color="000000"/>
              <w:right w:val="single" w:sz="8" w:space="0" w:color="000000"/>
            </w:tcBorders>
            <w:vAlign w:val="center"/>
            <w:hideMark/>
          </w:tcPr>
          <w:p w:rsidR="00202C91" w:rsidRDefault="00202C91" w:rsidP="00D41C42">
            <w:pPr>
              <w:jc w:val="center"/>
              <w:rPr>
                <w:rFonts w:ascii="Arial Narrow" w:hAnsi="Arial Narrow"/>
                <w:color w:val="000000"/>
              </w:rPr>
            </w:pPr>
          </w:p>
        </w:tc>
      </w:tr>
      <w:tr w:rsidR="00202C91" w:rsidTr="00202C91">
        <w:trPr>
          <w:trHeight w:val="345"/>
        </w:trPr>
        <w:tc>
          <w:tcPr>
            <w:tcW w:w="1985" w:type="dxa"/>
            <w:tcBorders>
              <w:top w:val="nil"/>
              <w:left w:val="single" w:sz="8" w:space="0" w:color="000000"/>
              <w:bottom w:val="single" w:sz="8" w:space="0" w:color="000000"/>
              <w:right w:val="single" w:sz="8" w:space="0" w:color="000000"/>
            </w:tcBorders>
            <w:shd w:val="clear" w:color="000000" w:fill="FFFFFF"/>
            <w:vAlign w:val="center"/>
            <w:hideMark/>
          </w:tcPr>
          <w:p w:rsidR="00202C91" w:rsidRDefault="00202C91" w:rsidP="00D41C42">
            <w:pPr>
              <w:rPr>
                <w:rFonts w:ascii="Arial Narrow" w:hAnsi="Arial Narrow"/>
                <w:b/>
                <w:bCs/>
                <w:color w:val="000000"/>
              </w:rPr>
            </w:pPr>
            <w:r>
              <w:rPr>
                <w:rFonts w:ascii="Arial Narrow" w:hAnsi="Arial Narrow"/>
                <w:b/>
                <w:bCs/>
                <w:color w:val="000000"/>
                <w:lang w:val="es-ES"/>
              </w:rPr>
              <w:t>Alcaldías</w:t>
            </w:r>
          </w:p>
        </w:tc>
        <w:tc>
          <w:tcPr>
            <w:tcW w:w="1134" w:type="dxa"/>
            <w:tcBorders>
              <w:top w:val="nil"/>
              <w:left w:val="nil"/>
              <w:bottom w:val="single" w:sz="8" w:space="0" w:color="000000"/>
              <w:right w:val="single" w:sz="8" w:space="0" w:color="000000"/>
            </w:tcBorders>
            <w:shd w:val="clear" w:color="000000" w:fill="FFFFFF"/>
            <w:vAlign w:val="center"/>
            <w:hideMark/>
          </w:tcPr>
          <w:p w:rsidR="00202C91" w:rsidRDefault="00202C91" w:rsidP="00D41C42">
            <w:pPr>
              <w:jc w:val="center"/>
              <w:rPr>
                <w:rFonts w:ascii="Arial Narrow" w:hAnsi="Arial Narrow"/>
                <w:b/>
                <w:bCs/>
                <w:color w:val="000000"/>
              </w:rPr>
            </w:pPr>
            <w:r>
              <w:rPr>
                <w:rFonts w:ascii="Arial Narrow" w:hAnsi="Arial Narrow"/>
                <w:b/>
                <w:bCs/>
                <w:color w:val="000000"/>
              </w:rPr>
              <w:t>16</w:t>
            </w:r>
          </w:p>
        </w:tc>
        <w:tc>
          <w:tcPr>
            <w:tcW w:w="1417" w:type="dxa"/>
            <w:tcBorders>
              <w:top w:val="nil"/>
              <w:left w:val="nil"/>
              <w:bottom w:val="single" w:sz="8" w:space="0" w:color="000000"/>
              <w:right w:val="single" w:sz="8" w:space="0" w:color="000000"/>
            </w:tcBorders>
            <w:shd w:val="clear" w:color="auto" w:fill="auto"/>
            <w:vAlign w:val="center"/>
            <w:hideMark/>
          </w:tcPr>
          <w:p w:rsidR="00202C91" w:rsidRDefault="00202C91" w:rsidP="00D41C42">
            <w:pPr>
              <w:jc w:val="center"/>
              <w:rPr>
                <w:rFonts w:ascii="Arial Narrow" w:hAnsi="Arial Narrow"/>
                <w:color w:val="000000"/>
              </w:rPr>
            </w:pPr>
            <w:r>
              <w:rPr>
                <w:rFonts w:ascii="Arial Narrow" w:hAnsi="Arial Narrow"/>
                <w:color w:val="000000"/>
                <w:lang w:val="es-ES"/>
              </w:rPr>
              <w:t>0</w:t>
            </w:r>
          </w:p>
        </w:tc>
        <w:tc>
          <w:tcPr>
            <w:tcW w:w="1843" w:type="dxa"/>
            <w:tcBorders>
              <w:top w:val="nil"/>
              <w:left w:val="nil"/>
              <w:bottom w:val="single" w:sz="8" w:space="0" w:color="000000"/>
              <w:right w:val="single" w:sz="8" w:space="0" w:color="000000"/>
            </w:tcBorders>
            <w:shd w:val="clear" w:color="auto" w:fill="auto"/>
            <w:vAlign w:val="center"/>
            <w:hideMark/>
          </w:tcPr>
          <w:p w:rsidR="00202C91" w:rsidRDefault="00202C91" w:rsidP="00D41C42">
            <w:pPr>
              <w:jc w:val="center"/>
              <w:rPr>
                <w:rFonts w:ascii="Arial Narrow" w:hAnsi="Arial Narrow"/>
                <w:color w:val="000000"/>
              </w:rPr>
            </w:pPr>
            <w:r>
              <w:rPr>
                <w:rFonts w:ascii="Arial Narrow" w:hAnsi="Arial Narrow"/>
                <w:color w:val="000000"/>
                <w:lang w:val="es-ES"/>
              </w:rPr>
              <w:t>9</w:t>
            </w:r>
          </w:p>
        </w:tc>
        <w:tc>
          <w:tcPr>
            <w:tcW w:w="1701" w:type="dxa"/>
            <w:tcBorders>
              <w:top w:val="nil"/>
              <w:left w:val="nil"/>
              <w:bottom w:val="single" w:sz="8" w:space="0" w:color="000000"/>
              <w:right w:val="single" w:sz="8" w:space="0" w:color="000000"/>
            </w:tcBorders>
            <w:shd w:val="clear" w:color="auto" w:fill="auto"/>
            <w:vAlign w:val="center"/>
            <w:hideMark/>
          </w:tcPr>
          <w:p w:rsidR="00202C91" w:rsidRDefault="00202C91" w:rsidP="00D41C42">
            <w:pPr>
              <w:jc w:val="center"/>
              <w:rPr>
                <w:rFonts w:ascii="Arial Narrow" w:hAnsi="Arial Narrow"/>
                <w:color w:val="000000"/>
              </w:rPr>
            </w:pPr>
            <w:r>
              <w:rPr>
                <w:rFonts w:ascii="Arial Narrow" w:hAnsi="Arial Narrow"/>
                <w:color w:val="000000"/>
                <w:lang w:val="es-ES"/>
              </w:rPr>
              <w:t>7</w:t>
            </w:r>
          </w:p>
        </w:tc>
        <w:tc>
          <w:tcPr>
            <w:tcW w:w="1559" w:type="dxa"/>
            <w:tcBorders>
              <w:top w:val="nil"/>
              <w:left w:val="nil"/>
              <w:bottom w:val="single" w:sz="8" w:space="0" w:color="000000"/>
              <w:right w:val="single" w:sz="8" w:space="0" w:color="000000"/>
            </w:tcBorders>
            <w:shd w:val="clear" w:color="auto" w:fill="auto"/>
            <w:vAlign w:val="center"/>
            <w:hideMark/>
          </w:tcPr>
          <w:p w:rsidR="00202C91" w:rsidRDefault="00202C91" w:rsidP="00D41C42">
            <w:pPr>
              <w:jc w:val="center"/>
              <w:rPr>
                <w:rFonts w:ascii="Arial Narrow" w:hAnsi="Arial Narrow"/>
                <w:color w:val="000000"/>
              </w:rPr>
            </w:pPr>
            <w:r>
              <w:rPr>
                <w:rFonts w:ascii="Arial Narrow" w:hAnsi="Arial Narrow"/>
                <w:color w:val="000000"/>
                <w:lang w:val="es-ES"/>
              </w:rPr>
              <w:t>0</w:t>
            </w:r>
          </w:p>
        </w:tc>
      </w:tr>
      <w:tr w:rsidR="00202C91" w:rsidTr="00202C91">
        <w:trPr>
          <w:trHeight w:val="34"/>
        </w:trPr>
        <w:tc>
          <w:tcPr>
            <w:tcW w:w="1985" w:type="dxa"/>
            <w:tcBorders>
              <w:top w:val="nil"/>
              <w:left w:val="single" w:sz="8" w:space="0" w:color="000000"/>
              <w:bottom w:val="single" w:sz="8" w:space="0" w:color="000000"/>
              <w:right w:val="single" w:sz="8" w:space="0" w:color="000000"/>
            </w:tcBorders>
            <w:shd w:val="clear" w:color="000000" w:fill="FFFFFF"/>
            <w:vAlign w:val="center"/>
            <w:hideMark/>
          </w:tcPr>
          <w:p w:rsidR="00202C91" w:rsidRDefault="00202C91" w:rsidP="00D41C42">
            <w:pPr>
              <w:rPr>
                <w:rFonts w:ascii="Arial Narrow" w:hAnsi="Arial Narrow"/>
                <w:b/>
                <w:bCs/>
                <w:color w:val="000000"/>
              </w:rPr>
            </w:pPr>
            <w:r>
              <w:rPr>
                <w:rFonts w:ascii="Arial Narrow" w:hAnsi="Arial Narrow"/>
                <w:b/>
                <w:bCs/>
                <w:color w:val="000000"/>
                <w:lang w:val="es-ES"/>
              </w:rPr>
              <w:t>Poder Judicial</w:t>
            </w:r>
          </w:p>
        </w:tc>
        <w:tc>
          <w:tcPr>
            <w:tcW w:w="1134" w:type="dxa"/>
            <w:tcBorders>
              <w:top w:val="nil"/>
              <w:left w:val="nil"/>
              <w:bottom w:val="single" w:sz="8" w:space="0" w:color="000000"/>
              <w:right w:val="single" w:sz="8" w:space="0" w:color="000000"/>
            </w:tcBorders>
            <w:shd w:val="clear" w:color="000000" w:fill="FFFFFF"/>
            <w:vAlign w:val="center"/>
            <w:hideMark/>
          </w:tcPr>
          <w:p w:rsidR="00202C91" w:rsidRDefault="00202C91" w:rsidP="00D41C42">
            <w:pPr>
              <w:jc w:val="center"/>
              <w:rPr>
                <w:rFonts w:ascii="Arial Narrow" w:hAnsi="Arial Narrow"/>
                <w:b/>
                <w:bCs/>
                <w:color w:val="000000"/>
              </w:rPr>
            </w:pPr>
            <w:r>
              <w:rPr>
                <w:rFonts w:ascii="Arial Narrow" w:hAnsi="Arial Narrow"/>
                <w:b/>
                <w:bCs/>
                <w:color w:val="000000"/>
              </w:rPr>
              <w:t>2</w:t>
            </w:r>
          </w:p>
        </w:tc>
        <w:tc>
          <w:tcPr>
            <w:tcW w:w="1417" w:type="dxa"/>
            <w:tcBorders>
              <w:top w:val="nil"/>
              <w:left w:val="nil"/>
              <w:bottom w:val="single" w:sz="8" w:space="0" w:color="000000"/>
              <w:right w:val="single" w:sz="8" w:space="0" w:color="000000"/>
            </w:tcBorders>
            <w:shd w:val="clear" w:color="auto" w:fill="auto"/>
            <w:vAlign w:val="center"/>
            <w:hideMark/>
          </w:tcPr>
          <w:p w:rsidR="00202C91" w:rsidRDefault="00202C91" w:rsidP="00D41C42">
            <w:pPr>
              <w:jc w:val="center"/>
              <w:rPr>
                <w:rFonts w:ascii="Arial Narrow" w:hAnsi="Arial Narrow"/>
                <w:color w:val="000000"/>
              </w:rPr>
            </w:pPr>
            <w:r>
              <w:rPr>
                <w:rFonts w:ascii="Arial Narrow" w:hAnsi="Arial Narrow"/>
                <w:color w:val="000000"/>
                <w:lang w:val="es-ES"/>
              </w:rPr>
              <w:t>0</w:t>
            </w:r>
          </w:p>
        </w:tc>
        <w:tc>
          <w:tcPr>
            <w:tcW w:w="1843" w:type="dxa"/>
            <w:tcBorders>
              <w:top w:val="nil"/>
              <w:left w:val="nil"/>
              <w:bottom w:val="single" w:sz="8" w:space="0" w:color="000000"/>
              <w:right w:val="single" w:sz="8" w:space="0" w:color="000000"/>
            </w:tcBorders>
            <w:shd w:val="clear" w:color="auto" w:fill="auto"/>
            <w:vAlign w:val="center"/>
            <w:hideMark/>
          </w:tcPr>
          <w:p w:rsidR="00202C91" w:rsidRDefault="00202C91" w:rsidP="00D41C42">
            <w:pPr>
              <w:jc w:val="center"/>
              <w:rPr>
                <w:rFonts w:ascii="Arial Narrow" w:hAnsi="Arial Narrow"/>
                <w:color w:val="000000"/>
              </w:rPr>
            </w:pPr>
            <w:r>
              <w:rPr>
                <w:rFonts w:ascii="Arial Narrow" w:hAnsi="Arial Narrow"/>
                <w:color w:val="000000"/>
                <w:lang w:val="es-ES"/>
              </w:rPr>
              <w:t>2</w:t>
            </w:r>
          </w:p>
        </w:tc>
        <w:tc>
          <w:tcPr>
            <w:tcW w:w="1701" w:type="dxa"/>
            <w:tcBorders>
              <w:top w:val="nil"/>
              <w:left w:val="nil"/>
              <w:bottom w:val="single" w:sz="8" w:space="0" w:color="000000"/>
              <w:right w:val="single" w:sz="8" w:space="0" w:color="000000"/>
            </w:tcBorders>
            <w:shd w:val="clear" w:color="auto" w:fill="auto"/>
            <w:vAlign w:val="center"/>
            <w:hideMark/>
          </w:tcPr>
          <w:p w:rsidR="00202C91" w:rsidRDefault="00202C91" w:rsidP="00D41C42">
            <w:pPr>
              <w:jc w:val="center"/>
              <w:rPr>
                <w:rFonts w:ascii="Arial Narrow" w:hAnsi="Arial Narrow"/>
                <w:color w:val="000000"/>
              </w:rPr>
            </w:pPr>
            <w:r>
              <w:rPr>
                <w:rFonts w:ascii="Arial Narrow" w:hAnsi="Arial Narrow"/>
                <w:color w:val="000000"/>
                <w:lang w:val="es-ES"/>
              </w:rPr>
              <w:t>0</w:t>
            </w:r>
          </w:p>
        </w:tc>
        <w:tc>
          <w:tcPr>
            <w:tcW w:w="1559" w:type="dxa"/>
            <w:tcBorders>
              <w:top w:val="nil"/>
              <w:left w:val="nil"/>
              <w:bottom w:val="single" w:sz="8" w:space="0" w:color="000000"/>
              <w:right w:val="single" w:sz="8" w:space="0" w:color="000000"/>
            </w:tcBorders>
            <w:shd w:val="clear" w:color="auto" w:fill="auto"/>
            <w:vAlign w:val="center"/>
            <w:hideMark/>
          </w:tcPr>
          <w:p w:rsidR="00202C91" w:rsidRDefault="00202C91" w:rsidP="00D41C42">
            <w:pPr>
              <w:jc w:val="center"/>
              <w:rPr>
                <w:rFonts w:ascii="Arial Narrow" w:hAnsi="Arial Narrow"/>
                <w:color w:val="000000"/>
              </w:rPr>
            </w:pPr>
            <w:r>
              <w:rPr>
                <w:rFonts w:ascii="Arial Narrow" w:hAnsi="Arial Narrow"/>
                <w:color w:val="000000"/>
                <w:lang w:val="es-ES"/>
              </w:rPr>
              <w:t>0</w:t>
            </w:r>
          </w:p>
        </w:tc>
      </w:tr>
      <w:tr w:rsidR="00202C91" w:rsidTr="00202C91">
        <w:trPr>
          <w:trHeight w:val="34"/>
        </w:trPr>
        <w:tc>
          <w:tcPr>
            <w:tcW w:w="1985" w:type="dxa"/>
            <w:tcBorders>
              <w:top w:val="nil"/>
              <w:left w:val="single" w:sz="8" w:space="0" w:color="000000"/>
              <w:bottom w:val="single" w:sz="8" w:space="0" w:color="000000"/>
              <w:right w:val="single" w:sz="8" w:space="0" w:color="000000"/>
            </w:tcBorders>
            <w:shd w:val="clear" w:color="000000" w:fill="FFFFFF"/>
            <w:vAlign w:val="center"/>
            <w:hideMark/>
          </w:tcPr>
          <w:p w:rsidR="00202C91" w:rsidRDefault="00202C91" w:rsidP="00D41C42">
            <w:pPr>
              <w:rPr>
                <w:rFonts w:ascii="Arial Narrow" w:hAnsi="Arial Narrow"/>
                <w:b/>
                <w:bCs/>
                <w:color w:val="000000"/>
              </w:rPr>
            </w:pPr>
            <w:r>
              <w:rPr>
                <w:rFonts w:ascii="Arial Narrow" w:hAnsi="Arial Narrow"/>
                <w:b/>
                <w:bCs/>
                <w:color w:val="000000"/>
                <w:lang w:val="es-ES"/>
              </w:rPr>
              <w:t>Poder Legislativo</w:t>
            </w:r>
          </w:p>
        </w:tc>
        <w:tc>
          <w:tcPr>
            <w:tcW w:w="1134" w:type="dxa"/>
            <w:tcBorders>
              <w:top w:val="nil"/>
              <w:left w:val="nil"/>
              <w:bottom w:val="single" w:sz="8" w:space="0" w:color="000000"/>
              <w:right w:val="single" w:sz="8" w:space="0" w:color="000000"/>
            </w:tcBorders>
            <w:shd w:val="clear" w:color="000000" w:fill="FFFFFF"/>
            <w:vAlign w:val="center"/>
            <w:hideMark/>
          </w:tcPr>
          <w:p w:rsidR="00202C91" w:rsidRDefault="00202C91" w:rsidP="00D41C42">
            <w:pPr>
              <w:jc w:val="center"/>
              <w:rPr>
                <w:rFonts w:ascii="Arial Narrow" w:hAnsi="Arial Narrow"/>
                <w:b/>
                <w:bCs/>
                <w:color w:val="000000"/>
              </w:rPr>
            </w:pPr>
            <w:r>
              <w:rPr>
                <w:rFonts w:ascii="Arial Narrow" w:hAnsi="Arial Narrow"/>
                <w:b/>
                <w:bCs/>
                <w:color w:val="000000"/>
              </w:rPr>
              <w:t>2</w:t>
            </w:r>
          </w:p>
        </w:tc>
        <w:tc>
          <w:tcPr>
            <w:tcW w:w="1417" w:type="dxa"/>
            <w:tcBorders>
              <w:top w:val="nil"/>
              <w:left w:val="nil"/>
              <w:bottom w:val="single" w:sz="8" w:space="0" w:color="000000"/>
              <w:right w:val="single" w:sz="8" w:space="0" w:color="000000"/>
            </w:tcBorders>
            <w:shd w:val="clear" w:color="auto" w:fill="auto"/>
            <w:vAlign w:val="center"/>
            <w:hideMark/>
          </w:tcPr>
          <w:p w:rsidR="00202C91" w:rsidRDefault="00202C91" w:rsidP="00D41C42">
            <w:pPr>
              <w:jc w:val="center"/>
              <w:rPr>
                <w:rFonts w:ascii="Arial Narrow" w:hAnsi="Arial Narrow"/>
                <w:color w:val="000000"/>
              </w:rPr>
            </w:pPr>
            <w:r>
              <w:rPr>
                <w:rFonts w:ascii="Arial Narrow" w:hAnsi="Arial Narrow"/>
                <w:color w:val="000000"/>
                <w:lang w:val="es-ES"/>
              </w:rPr>
              <w:t>0</w:t>
            </w:r>
          </w:p>
        </w:tc>
        <w:tc>
          <w:tcPr>
            <w:tcW w:w="1843" w:type="dxa"/>
            <w:tcBorders>
              <w:top w:val="nil"/>
              <w:left w:val="nil"/>
              <w:bottom w:val="single" w:sz="8" w:space="0" w:color="000000"/>
              <w:right w:val="single" w:sz="8" w:space="0" w:color="000000"/>
            </w:tcBorders>
            <w:shd w:val="clear" w:color="auto" w:fill="auto"/>
            <w:vAlign w:val="center"/>
            <w:hideMark/>
          </w:tcPr>
          <w:p w:rsidR="00202C91" w:rsidRDefault="00202C91" w:rsidP="00D41C42">
            <w:pPr>
              <w:jc w:val="center"/>
              <w:rPr>
                <w:rFonts w:ascii="Arial Narrow" w:hAnsi="Arial Narrow"/>
                <w:color w:val="000000"/>
              </w:rPr>
            </w:pPr>
            <w:r>
              <w:rPr>
                <w:rFonts w:ascii="Arial Narrow" w:hAnsi="Arial Narrow"/>
                <w:color w:val="000000"/>
                <w:lang w:val="es-ES"/>
              </w:rPr>
              <w:t>2</w:t>
            </w:r>
          </w:p>
        </w:tc>
        <w:tc>
          <w:tcPr>
            <w:tcW w:w="1701" w:type="dxa"/>
            <w:tcBorders>
              <w:top w:val="nil"/>
              <w:left w:val="nil"/>
              <w:bottom w:val="single" w:sz="8" w:space="0" w:color="000000"/>
              <w:right w:val="single" w:sz="8" w:space="0" w:color="000000"/>
            </w:tcBorders>
            <w:shd w:val="clear" w:color="auto" w:fill="auto"/>
            <w:vAlign w:val="center"/>
            <w:hideMark/>
          </w:tcPr>
          <w:p w:rsidR="00202C91" w:rsidRDefault="00202C91" w:rsidP="00D41C42">
            <w:pPr>
              <w:jc w:val="center"/>
              <w:rPr>
                <w:rFonts w:ascii="Arial Narrow" w:hAnsi="Arial Narrow"/>
                <w:color w:val="000000"/>
              </w:rPr>
            </w:pPr>
            <w:r>
              <w:rPr>
                <w:rFonts w:ascii="Arial Narrow" w:hAnsi="Arial Narrow"/>
                <w:color w:val="000000"/>
                <w:lang w:val="es-ES"/>
              </w:rPr>
              <w:t>0</w:t>
            </w:r>
          </w:p>
        </w:tc>
        <w:tc>
          <w:tcPr>
            <w:tcW w:w="1559" w:type="dxa"/>
            <w:tcBorders>
              <w:top w:val="nil"/>
              <w:left w:val="nil"/>
              <w:bottom w:val="single" w:sz="8" w:space="0" w:color="000000"/>
              <w:right w:val="single" w:sz="8" w:space="0" w:color="000000"/>
            </w:tcBorders>
            <w:shd w:val="clear" w:color="auto" w:fill="auto"/>
            <w:vAlign w:val="center"/>
            <w:hideMark/>
          </w:tcPr>
          <w:p w:rsidR="00202C91" w:rsidRDefault="00202C91" w:rsidP="00D41C42">
            <w:pPr>
              <w:jc w:val="center"/>
              <w:rPr>
                <w:rFonts w:ascii="Arial Narrow" w:hAnsi="Arial Narrow"/>
                <w:color w:val="000000"/>
              </w:rPr>
            </w:pPr>
            <w:r>
              <w:rPr>
                <w:rFonts w:ascii="Arial Narrow" w:hAnsi="Arial Narrow"/>
                <w:color w:val="000000"/>
                <w:lang w:val="es-ES"/>
              </w:rPr>
              <w:t>0</w:t>
            </w:r>
          </w:p>
        </w:tc>
      </w:tr>
      <w:tr w:rsidR="00202C91" w:rsidTr="00202C91">
        <w:trPr>
          <w:trHeight w:val="34"/>
        </w:trPr>
        <w:tc>
          <w:tcPr>
            <w:tcW w:w="1985" w:type="dxa"/>
            <w:tcBorders>
              <w:top w:val="nil"/>
              <w:left w:val="single" w:sz="8" w:space="0" w:color="000000"/>
              <w:bottom w:val="single" w:sz="8" w:space="0" w:color="000000"/>
              <w:right w:val="single" w:sz="8" w:space="0" w:color="000000"/>
            </w:tcBorders>
            <w:shd w:val="clear" w:color="000000" w:fill="FFFFFF"/>
            <w:vAlign w:val="center"/>
            <w:hideMark/>
          </w:tcPr>
          <w:p w:rsidR="00202C91" w:rsidRDefault="00202C91" w:rsidP="00D41C42">
            <w:pPr>
              <w:rPr>
                <w:rFonts w:ascii="Arial Narrow" w:hAnsi="Arial Narrow"/>
                <w:b/>
                <w:bCs/>
                <w:color w:val="000000"/>
              </w:rPr>
            </w:pPr>
            <w:r>
              <w:rPr>
                <w:rFonts w:ascii="Arial Narrow" w:hAnsi="Arial Narrow"/>
                <w:b/>
                <w:bCs/>
                <w:color w:val="000000"/>
                <w:lang w:val="es-ES"/>
              </w:rPr>
              <w:t xml:space="preserve">Órgano Autónomo </w:t>
            </w:r>
          </w:p>
        </w:tc>
        <w:tc>
          <w:tcPr>
            <w:tcW w:w="1134" w:type="dxa"/>
            <w:tcBorders>
              <w:top w:val="nil"/>
              <w:left w:val="nil"/>
              <w:bottom w:val="single" w:sz="8" w:space="0" w:color="000000"/>
              <w:right w:val="single" w:sz="8" w:space="0" w:color="000000"/>
            </w:tcBorders>
            <w:shd w:val="clear" w:color="000000" w:fill="FFFFFF"/>
            <w:vAlign w:val="center"/>
            <w:hideMark/>
          </w:tcPr>
          <w:p w:rsidR="00202C91" w:rsidRDefault="00202C91" w:rsidP="00D41C42">
            <w:pPr>
              <w:jc w:val="center"/>
              <w:rPr>
                <w:rFonts w:ascii="Arial Narrow" w:hAnsi="Arial Narrow"/>
                <w:b/>
                <w:bCs/>
                <w:color w:val="000000"/>
              </w:rPr>
            </w:pPr>
            <w:r>
              <w:rPr>
                <w:rFonts w:ascii="Arial Narrow" w:hAnsi="Arial Narrow"/>
                <w:b/>
                <w:bCs/>
                <w:color w:val="000000"/>
              </w:rPr>
              <w:t>7</w:t>
            </w:r>
          </w:p>
        </w:tc>
        <w:tc>
          <w:tcPr>
            <w:tcW w:w="1417" w:type="dxa"/>
            <w:tcBorders>
              <w:top w:val="nil"/>
              <w:left w:val="nil"/>
              <w:bottom w:val="single" w:sz="8" w:space="0" w:color="000000"/>
              <w:right w:val="single" w:sz="8" w:space="0" w:color="000000"/>
            </w:tcBorders>
            <w:shd w:val="clear" w:color="auto" w:fill="auto"/>
            <w:vAlign w:val="center"/>
            <w:hideMark/>
          </w:tcPr>
          <w:p w:rsidR="00202C91" w:rsidRDefault="00202C91" w:rsidP="00D41C42">
            <w:pPr>
              <w:jc w:val="center"/>
              <w:rPr>
                <w:rFonts w:ascii="Arial Narrow" w:hAnsi="Arial Narrow"/>
                <w:color w:val="000000"/>
              </w:rPr>
            </w:pPr>
            <w:r>
              <w:rPr>
                <w:rFonts w:ascii="Arial Narrow" w:hAnsi="Arial Narrow"/>
                <w:color w:val="000000"/>
                <w:lang w:val="es-ES"/>
              </w:rPr>
              <w:t>1</w:t>
            </w:r>
          </w:p>
        </w:tc>
        <w:tc>
          <w:tcPr>
            <w:tcW w:w="1843" w:type="dxa"/>
            <w:tcBorders>
              <w:top w:val="nil"/>
              <w:left w:val="nil"/>
              <w:bottom w:val="single" w:sz="8" w:space="0" w:color="000000"/>
              <w:right w:val="single" w:sz="8" w:space="0" w:color="000000"/>
            </w:tcBorders>
            <w:shd w:val="clear" w:color="auto" w:fill="auto"/>
            <w:vAlign w:val="center"/>
            <w:hideMark/>
          </w:tcPr>
          <w:p w:rsidR="00202C91" w:rsidRDefault="00202C91" w:rsidP="00D41C42">
            <w:pPr>
              <w:jc w:val="center"/>
              <w:rPr>
                <w:rFonts w:ascii="Arial Narrow" w:hAnsi="Arial Narrow"/>
                <w:color w:val="000000"/>
              </w:rPr>
            </w:pPr>
            <w:r>
              <w:rPr>
                <w:rFonts w:ascii="Arial Narrow" w:hAnsi="Arial Narrow"/>
                <w:color w:val="000000"/>
                <w:lang w:val="es-ES"/>
              </w:rPr>
              <w:t>5</w:t>
            </w:r>
          </w:p>
        </w:tc>
        <w:tc>
          <w:tcPr>
            <w:tcW w:w="1701" w:type="dxa"/>
            <w:tcBorders>
              <w:top w:val="nil"/>
              <w:left w:val="nil"/>
              <w:bottom w:val="single" w:sz="8" w:space="0" w:color="000000"/>
              <w:right w:val="single" w:sz="8" w:space="0" w:color="000000"/>
            </w:tcBorders>
            <w:shd w:val="clear" w:color="auto" w:fill="auto"/>
            <w:vAlign w:val="center"/>
            <w:hideMark/>
          </w:tcPr>
          <w:p w:rsidR="00202C91" w:rsidRDefault="00202C91" w:rsidP="00D41C42">
            <w:pPr>
              <w:jc w:val="center"/>
              <w:rPr>
                <w:rFonts w:ascii="Arial Narrow" w:hAnsi="Arial Narrow"/>
                <w:color w:val="000000"/>
              </w:rPr>
            </w:pPr>
            <w:r>
              <w:rPr>
                <w:rFonts w:ascii="Arial Narrow" w:hAnsi="Arial Narrow"/>
                <w:color w:val="000000"/>
                <w:lang w:val="es-ES"/>
              </w:rPr>
              <w:t>1</w:t>
            </w:r>
          </w:p>
        </w:tc>
        <w:tc>
          <w:tcPr>
            <w:tcW w:w="1559" w:type="dxa"/>
            <w:tcBorders>
              <w:top w:val="nil"/>
              <w:left w:val="nil"/>
              <w:bottom w:val="single" w:sz="8" w:space="0" w:color="000000"/>
              <w:right w:val="single" w:sz="8" w:space="0" w:color="000000"/>
            </w:tcBorders>
            <w:shd w:val="clear" w:color="auto" w:fill="auto"/>
            <w:vAlign w:val="center"/>
            <w:hideMark/>
          </w:tcPr>
          <w:p w:rsidR="00202C91" w:rsidRDefault="00202C91" w:rsidP="00D41C42">
            <w:pPr>
              <w:jc w:val="center"/>
              <w:rPr>
                <w:rFonts w:ascii="Arial Narrow" w:hAnsi="Arial Narrow"/>
                <w:color w:val="000000"/>
              </w:rPr>
            </w:pPr>
            <w:r>
              <w:rPr>
                <w:rFonts w:ascii="Arial Narrow" w:hAnsi="Arial Narrow"/>
                <w:color w:val="000000"/>
                <w:lang w:val="es-ES"/>
              </w:rPr>
              <w:t>0</w:t>
            </w:r>
          </w:p>
        </w:tc>
      </w:tr>
      <w:tr w:rsidR="00202C91" w:rsidTr="00202C91">
        <w:trPr>
          <w:trHeight w:val="510"/>
        </w:trPr>
        <w:tc>
          <w:tcPr>
            <w:tcW w:w="1985" w:type="dxa"/>
            <w:tcBorders>
              <w:top w:val="nil"/>
              <w:left w:val="single" w:sz="8" w:space="0" w:color="000000"/>
              <w:bottom w:val="single" w:sz="8" w:space="0" w:color="000000"/>
              <w:right w:val="single" w:sz="8" w:space="0" w:color="000000"/>
            </w:tcBorders>
            <w:shd w:val="clear" w:color="000000" w:fill="FFFFFF"/>
            <w:vAlign w:val="center"/>
            <w:hideMark/>
          </w:tcPr>
          <w:p w:rsidR="00202C91" w:rsidRDefault="00202C91" w:rsidP="00D41C42">
            <w:pPr>
              <w:rPr>
                <w:rFonts w:ascii="Arial Narrow" w:hAnsi="Arial Narrow"/>
                <w:b/>
                <w:bCs/>
                <w:color w:val="000000"/>
              </w:rPr>
            </w:pPr>
            <w:r>
              <w:rPr>
                <w:rFonts w:ascii="Arial Narrow" w:hAnsi="Arial Narrow"/>
                <w:b/>
                <w:bCs/>
                <w:color w:val="000000"/>
                <w:lang w:val="es-ES"/>
              </w:rPr>
              <w:t>Partidos Políticos en la Ciudad de México</w:t>
            </w:r>
          </w:p>
        </w:tc>
        <w:tc>
          <w:tcPr>
            <w:tcW w:w="1134" w:type="dxa"/>
            <w:tcBorders>
              <w:top w:val="nil"/>
              <w:left w:val="nil"/>
              <w:bottom w:val="single" w:sz="8" w:space="0" w:color="000000"/>
              <w:right w:val="single" w:sz="8" w:space="0" w:color="000000"/>
            </w:tcBorders>
            <w:shd w:val="clear" w:color="000000" w:fill="FFFFFF"/>
            <w:vAlign w:val="center"/>
            <w:hideMark/>
          </w:tcPr>
          <w:p w:rsidR="00202C91" w:rsidRDefault="00202C91" w:rsidP="00D41C42">
            <w:pPr>
              <w:jc w:val="center"/>
              <w:rPr>
                <w:rFonts w:ascii="Arial Narrow" w:hAnsi="Arial Narrow"/>
                <w:b/>
                <w:bCs/>
                <w:color w:val="000000"/>
              </w:rPr>
            </w:pPr>
            <w:r>
              <w:rPr>
                <w:rFonts w:ascii="Arial Narrow" w:hAnsi="Arial Narrow"/>
                <w:b/>
                <w:bCs/>
                <w:color w:val="000000"/>
              </w:rPr>
              <w:t>10</w:t>
            </w:r>
          </w:p>
        </w:tc>
        <w:tc>
          <w:tcPr>
            <w:tcW w:w="1417" w:type="dxa"/>
            <w:tcBorders>
              <w:top w:val="nil"/>
              <w:left w:val="nil"/>
              <w:bottom w:val="single" w:sz="8" w:space="0" w:color="000000"/>
              <w:right w:val="single" w:sz="8" w:space="0" w:color="000000"/>
            </w:tcBorders>
            <w:shd w:val="clear" w:color="auto" w:fill="auto"/>
            <w:vAlign w:val="center"/>
            <w:hideMark/>
          </w:tcPr>
          <w:p w:rsidR="00202C91" w:rsidRDefault="00202C91" w:rsidP="00D41C42">
            <w:pPr>
              <w:jc w:val="center"/>
              <w:rPr>
                <w:rFonts w:ascii="Arial Narrow" w:hAnsi="Arial Narrow"/>
                <w:color w:val="000000"/>
              </w:rPr>
            </w:pPr>
            <w:r>
              <w:rPr>
                <w:rFonts w:ascii="Arial Narrow" w:hAnsi="Arial Narrow"/>
                <w:color w:val="000000"/>
                <w:lang w:val="es-ES"/>
              </w:rPr>
              <w:t>2</w:t>
            </w:r>
          </w:p>
        </w:tc>
        <w:tc>
          <w:tcPr>
            <w:tcW w:w="1843" w:type="dxa"/>
            <w:tcBorders>
              <w:top w:val="nil"/>
              <w:left w:val="nil"/>
              <w:bottom w:val="single" w:sz="8" w:space="0" w:color="000000"/>
              <w:right w:val="single" w:sz="8" w:space="0" w:color="000000"/>
            </w:tcBorders>
            <w:shd w:val="clear" w:color="auto" w:fill="auto"/>
            <w:vAlign w:val="center"/>
            <w:hideMark/>
          </w:tcPr>
          <w:p w:rsidR="00202C91" w:rsidRDefault="00202C91" w:rsidP="00D41C42">
            <w:pPr>
              <w:jc w:val="center"/>
              <w:rPr>
                <w:rFonts w:ascii="Arial Narrow" w:hAnsi="Arial Narrow"/>
                <w:color w:val="000000"/>
              </w:rPr>
            </w:pPr>
            <w:r>
              <w:rPr>
                <w:rFonts w:ascii="Arial Narrow" w:hAnsi="Arial Narrow"/>
                <w:color w:val="000000"/>
                <w:lang w:val="es-ES"/>
              </w:rPr>
              <w:t>4</w:t>
            </w:r>
          </w:p>
        </w:tc>
        <w:tc>
          <w:tcPr>
            <w:tcW w:w="1701" w:type="dxa"/>
            <w:tcBorders>
              <w:top w:val="nil"/>
              <w:left w:val="nil"/>
              <w:bottom w:val="single" w:sz="8" w:space="0" w:color="000000"/>
              <w:right w:val="single" w:sz="8" w:space="0" w:color="000000"/>
            </w:tcBorders>
            <w:shd w:val="clear" w:color="auto" w:fill="auto"/>
            <w:vAlign w:val="center"/>
            <w:hideMark/>
          </w:tcPr>
          <w:p w:rsidR="00202C91" w:rsidRDefault="00202C91" w:rsidP="00D41C42">
            <w:pPr>
              <w:jc w:val="center"/>
              <w:rPr>
                <w:rFonts w:ascii="Arial Narrow" w:hAnsi="Arial Narrow"/>
                <w:color w:val="000000"/>
              </w:rPr>
            </w:pPr>
            <w:r>
              <w:rPr>
                <w:rFonts w:ascii="Arial Narrow" w:hAnsi="Arial Narrow"/>
                <w:color w:val="000000"/>
                <w:lang w:val="es-ES"/>
              </w:rPr>
              <w:t>4</w:t>
            </w:r>
          </w:p>
        </w:tc>
        <w:tc>
          <w:tcPr>
            <w:tcW w:w="1559" w:type="dxa"/>
            <w:tcBorders>
              <w:top w:val="nil"/>
              <w:left w:val="nil"/>
              <w:bottom w:val="single" w:sz="8" w:space="0" w:color="000000"/>
              <w:right w:val="single" w:sz="8" w:space="0" w:color="000000"/>
            </w:tcBorders>
            <w:shd w:val="clear" w:color="auto" w:fill="auto"/>
            <w:vAlign w:val="center"/>
            <w:hideMark/>
          </w:tcPr>
          <w:p w:rsidR="00202C91" w:rsidRDefault="00202C91" w:rsidP="00D41C42">
            <w:pPr>
              <w:jc w:val="center"/>
              <w:rPr>
                <w:rFonts w:ascii="Arial Narrow" w:hAnsi="Arial Narrow"/>
                <w:color w:val="000000"/>
              </w:rPr>
            </w:pPr>
            <w:r>
              <w:rPr>
                <w:rFonts w:ascii="Arial Narrow" w:hAnsi="Arial Narrow"/>
                <w:color w:val="000000"/>
                <w:lang w:val="es-ES"/>
              </w:rPr>
              <w:t>0</w:t>
            </w:r>
          </w:p>
        </w:tc>
      </w:tr>
      <w:tr w:rsidR="00202C91" w:rsidTr="00202C91">
        <w:trPr>
          <w:trHeight w:val="340"/>
        </w:trPr>
        <w:tc>
          <w:tcPr>
            <w:tcW w:w="1985" w:type="dxa"/>
            <w:tcBorders>
              <w:top w:val="nil"/>
              <w:left w:val="single" w:sz="8" w:space="0" w:color="000000"/>
              <w:bottom w:val="single" w:sz="8" w:space="0" w:color="000000"/>
              <w:right w:val="single" w:sz="8" w:space="0" w:color="000000"/>
            </w:tcBorders>
            <w:shd w:val="clear" w:color="000000" w:fill="FFFFFF"/>
            <w:vAlign w:val="center"/>
            <w:hideMark/>
          </w:tcPr>
          <w:p w:rsidR="00202C91" w:rsidRDefault="00202C91" w:rsidP="00D41C42">
            <w:pPr>
              <w:rPr>
                <w:rFonts w:ascii="Arial Narrow" w:hAnsi="Arial Narrow"/>
                <w:b/>
                <w:bCs/>
                <w:color w:val="000000"/>
              </w:rPr>
            </w:pPr>
            <w:r>
              <w:rPr>
                <w:rFonts w:ascii="Arial Narrow" w:hAnsi="Arial Narrow"/>
                <w:b/>
                <w:bCs/>
                <w:color w:val="000000"/>
                <w:lang w:val="es-ES"/>
              </w:rPr>
              <w:t xml:space="preserve">Sindicato </w:t>
            </w:r>
          </w:p>
        </w:tc>
        <w:tc>
          <w:tcPr>
            <w:tcW w:w="1134" w:type="dxa"/>
            <w:tcBorders>
              <w:top w:val="nil"/>
              <w:left w:val="nil"/>
              <w:bottom w:val="single" w:sz="8" w:space="0" w:color="000000"/>
              <w:right w:val="single" w:sz="8" w:space="0" w:color="000000"/>
            </w:tcBorders>
            <w:shd w:val="clear" w:color="000000" w:fill="FFFFFF"/>
            <w:vAlign w:val="center"/>
            <w:hideMark/>
          </w:tcPr>
          <w:p w:rsidR="00202C91" w:rsidRDefault="00202C91" w:rsidP="00D41C42">
            <w:pPr>
              <w:jc w:val="center"/>
              <w:rPr>
                <w:rFonts w:ascii="Arial Narrow" w:hAnsi="Arial Narrow"/>
                <w:b/>
                <w:bCs/>
                <w:color w:val="000000"/>
              </w:rPr>
            </w:pPr>
            <w:r>
              <w:rPr>
                <w:rFonts w:ascii="Arial Narrow" w:hAnsi="Arial Narrow"/>
                <w:b/>
                <w:bCs/>
                <w:color w:val="000000"/>
              </w:rPr>
              <w:t>21</w:t>
            </w:r>
          </w:p>
        </w:tc>
        <w:tc>
          <w:tcPr>
            <w:tcW w:w="1417" w:type="dxa"/>
            <w:tcBorders>
              <w:top w:val="nil"/>
              <w:left w:val="nil"/>
              <w:bottom w:val="single" w:sz="8" w:space="0" w:color="000000"/>
              <w:right w:val="single" w:sz="8" w:space="0" w:color="000000"/>
            </w:tcBorders>
            <w:shd w:val="clear" w:color="auto" w:fill="auto"/>
            <w:vAlign w:val="center"/>
            <w:hideMark/>
          </w:tcPr>
          <w:p w:rsidR="00202C91" w:rsidRDefault="00202C91" w:rsidP="00D41C42">
            <w:pPr>
              <w:jc w:val="center"/>
              <w:rPr>
                <w:rFonts w:ascii="Arial Narrow" w:hAnsi="Arial Narrow"/>
                <w:color w:val="000000"/>
              </w:rPr>
            </w:pPr>
            <w:r>
              <w:rPr>
                <w:rFonts w:ascii="Arial Narrow" w:hAnsi="Arial Narrow"/>
                <w:color w:val="000000"/>
                <w:lang w:val="es-ES"/>
              </w:rPr>
              <w:t>0</w:t>
            </w:r>
          </w:p>
        </w:tc>
        <w:tc>
          <w:tcPr>
            <w:tcW w:w="1843" w:type="dxa"/>
            <w:tcBorders>
              <w:top w:val="nil"/>
              <w:left w:val="nil"/>
              <w:bottom w:val="single" w:sz="8" w:space="0" w:color="000000"/>
              <w:right w:val="single" w:sz="8" w:space="0" w:color="000000"/>
            </w:tcBorders>
            <w:shd w:val="clear" w:color="auto" w:fill="auto"/>
            <w:vAlign w:val="center"/>
            <w:hideMark/>
          </w:tcPr>
          <w:p w:rsidR="00202C91" w:rsidRDefault="00202C91" w:rsidP="00D41C42">
            <w:pPr>
              <w:jc w:val="center"/>
              <w:rPr>
                <w:rFonts w:ascii="Arial Narrow" w:hAnsi="Arial Narrow"/>
                <w:color w:val="000000"/>
              </w:rPr>
            </w:pPr>
            <w:r>
              <w:rPr>
                <w:rFonts w:ascii="Arial Narrow" w:hAnsi="Arial Narrow"/>
                <w:color w:val="000000"/>
                <w:lang w:val="es-ES"/>
              </w:rPr>
              <w:t>3</w:t>
            </w:r>
          </w:p>
        </w:tc>
        <w:tc>
          <w:tcPr>
            <w:tcW w:w="1701" w:type="dxa"/>
            <w:tcBorders>
              <w:top w:val="nil"/>
              <w:left w:val="nil"/>
              <w:bottom w:val="single" w:sz="8" w:space="0" w:color="000000"/>
              <w:right w:val="single" w:sz="8" w:space="0" w:color="000000"/>
            </w:tcBorders>
            <w:shd w:val="clear" w:color="auto" w:fill="auto"/>
            <w:vAlign w:val="center"/>
            <w:hideMark/>
          </w:tcPr>
          <w:p w:rsidR="00202C91" w:rsidRDefault="00202C91" w:rsidP="00D41C42">
            <w:pPr>
              <w:jc w:val="center"/>
              <w:rPr>
                <w:rFonts w:ascii="Arial Narrow" w:hAnsi="Arial Narrow"/>
                <w:color w:val="000000"/>
              </w:rPr>
            </w:pPr>
            <w:r>
              <w:rPr>
                <w:rFonts w:ascii="Arial Narrow" w:hAnsi="Arial Narrow"/>
                <w:color w:val="000000"/>
                <w:lang w:val="es-ES"/>
              </w:rPr>
              <w:t>18</w:t>
            </w:r>
          </w:p>
        </w:tc>
        <w:tc>
          <w:tcPr>
            <w:tcW w:w="1559" w:type="dxa"/>
            <w:tcBorders>
              <w:top w:val="nil"/>
              <w:left w:val="nil"/>
              <w:bottom w:val="single" w:sz="8" w:space="0" w:color="000000"/>
              <w:right w:val="single" w:sz="8" w:space="0" w:color="000000"/>
            </w:tcBorders>
            <w:shd w:val="clear" w:color="auto" w:fill="auto"/>
            <w:vAlign w:val="center"/>
            <w:hideMark/>
          </w:tcPr>
          <w:p w:rsidR="00202C91" w:rsidRDefault="00202C91" w:rsidP="00D41C42">
            <w:pPr>
              <w:jc w:val="center"/>
              <w:rPr>
                <w:rFonts w:ascii="Arial Narrow" w:hAnsi="Arial Narrow"/>
                <w:color w:val="000000"/>
              </w:rPr>
            </w:pPr>
            <w:r>
              <w:rPr>
                <w:rFonts w:ascii="Arial Narrow" w:hAnsi="Arial Narrow"/>
                <w:color w:val="000000"/>
                <w:lang w:val="es-ES"/>
              </w:rPr>
              <w:t>0</w:t>
            </w:r>
          </w:p>
        </w:tc>
      </w:tr>
      <w:tr w:rsidR="00202C91" w:rsidTr="00202C91">
        <w:trPr>
          <w:trHeight w:val="340"/>
        </w:trPr>
        <w:tc>
          <w:tcPr>
            <w:tcW w:w="1985" w:type="dxa"/>
            <w:tcBorders>
              <w:top w:val="nil"/>
              <w:left w:val="single" w:sz="8" w:space="0" w:color="000000"/>
              <w:bottom w:val="single" w:sz="8" w:space="0" w:color="000000"/>
              <w:right w:val="single" w:sz="8" w:space="0" w:color="000000"/>
            </w:tcBorders>
            <w:shd w:val="clear" w:color="auto" w:fill="auto"/>
            <w:vAlign w:val="center"/>
            <w:hideMark/>
          </w:tcPr>
          <w:p w:rsidR="00202C91" w:rsidRDefault="00202C91" w:rsidP="00D41C42">
            <w:pPr>
              <w:rPr>
                <w:rFonts w:ascii="Arial Narrow" w:hAnsi="Arial Narrow"/>
                <w:b/>
                <w:bCs/>
                <w:color w:val="000000"/>
              </w:rPr>
            </w:pPr>
            <w:r>
              <w:rPr>
                <w:rFonts w:ascii="Arial Narrow" w:hAnsi="Arial Narrow"/>
                <w:b/>
                <w:bCs/>
                <w:color w:val="000000"/>
                <w:lang w:val="es-ES"/>
              </w:rPr>
              <w:t xml:space="preserve">Total </w:t>
            </w:r>
          </w:p>
        </w:tc>
        <w:tc>
          <w:tcPr>
            <w:tcW w:w="1134" w:type="dxa"/>
            <w:tcBorders>
              <w:top w:val="nil"/>
              <w:left w:val="nil"/>
              <w:bottom w:val="single" w:sz="8" w:space="0" w:color="000000"/>
              <w:right w:val="single" w:sz="8" w:space="0" w:color="000000"/>
            </w:tcBorders>
            <w:shd w:val="clear" w:color="auto" w:fill="auto"/>
            <w:vAlign w:val="center"/>
            <w:hideMark/>
          </w:tcPr>
          <w:p w:rsidR="00202C91" w:rsidRDefault="00202C91" w:rsidP="00D41C42">
            <w:pPr>
              <w:jc w:val="center"/>
              <w:rPr>
                <w:rFonts w:ascii="Arial Narrow" w:hAnsi="Arial Narrow"/>
                <w:b/>
                <w:bCs/>
                <w:color w:val="000000"/>
              </w:rPr>
            </w:pPr>
            <w:r>
              <w:rPr>
                <w:rFonts w:ascii="Arial Narrow" w:hAnsi="Arial Narrow"/>
                <w:b/>
                <w:bCs/>
                <w:color w:val="000000"/>
              </w:rPr>
              <w:t>146</w:t>
            </w:r>
          </w:p>
        </w:tc>
        <w:tc>
          <w:tcPr>
            <w:tcW w:w="1417" w:type="dxa"/>
            <w:tcBorders>
              <w:top w:val="nil"/>
              <w:left w:val="nil"/>
              <w:bottom w:val="single" w:sz="8" w:space="0" w:color="000000"/>
              <w:right w:val="single" w:sz="8" w:space="0" w:color="000000"/>
            </w:tcBorders>
            <w:shd w:val="clear" w:color="auto" w:fill="auto"/>
            <w:vAlign w:val="center"/>
            <w:hideMark/>
          </w:tcPr>
          <w:p w:rsidR="00202C91" w:rsidRDefault="00202C91" w:rsidP="00D41C42">
            <w:pPr>
              <w:jc w:val="center"/>
              <w:rPr>
                <w:rFonts w:ascii="Arial Narrow" w:hAnsi="Arial Narrow"/>
                <w:b/>
                <w:bCs/>
                <w:color w:val="000000"/>
              </w:rPr>
            </w:pPr>
            <w:r>
              <w:rPr>
                <w:rFonts w:ascii="Arial Narrow" w:hAnsi="Arial Narrow"/>
                <w:b/>
                <w:bCs/>
                <w:color w:val="000000"/>
                <w:lang w:val="es-ES"/>
              </w:rPr>
              <w:t>7</w:t>
            </w:r>
          </w:p>
        </w:tc>
        <w:tc>
          <w:tcPr>
            <w:tcW w:w="1843" w:type="dxa"/>
            <w:tcBorders>
              <w:top w:val="nil"/>
              <w:left w:val="nil"/>
              <w:bottom w:val="single" w:sz="8" w:space="0" w:color="000000"/>
              <w:right w:val="single" w:sz="8" w:space="0" w:color="000000"/>
            </w:tcBorders>
            <w:shd w:val="clear" w:color="auto" w:fill="auto"/>
            <w:vAlign w:val="center"/>
            <w:hideMark/>
          </w:tcPr>
          <w:p w:rsidR="00202C91" w:rsidRDefault="00202C91" w:rsidP="00D41C42">
            <w:pPr>
              <w:jc w:val="center"/>
              <w:rPr>
                <w:rFonts w:ascii="Arial Narrow" w:hAnsi="Arial Narrow"/>
                <w:b/>
                <w:bCs/>
                <w:color w:val="000000"/>
              </w:rPr>
            </w:pPr>
            <w:r>
              <w:rPr>
                <w:rFonts w:ascii="Arial Narrow" w:hAnsi="Arial Narrow"/>
                <w:b/>
                <w:bCs/>
                <w:color w:val="000000"/>
                <w:lang w:val="es-ES"/>
              </w:rPr>
              <w:t>92</w:t>
            </w:r>
          </w:p>
        </w:tc>
        <w:tc>
          <w:tcPr>
            <w:tcW w:w="1701" w:type="dxa"/>
            <w:tcBorders>
              <w:top w:val="nil"/>
              <w:left w:val="nil"/>
              <w:bottom w:val="single" w:sz="8" w:space="0" w:color="000000"/>
              <w:right w:val="single" w:sz="8" w:space="0" w:color="000000"/>
            </w:tcBorders>
            <w:shd w:val="clear" w:color="auto" w:fill="auto"/>
            <w:vAlign w:val="center"/>
            <w:hideMark/>
          </w:tcPr>
          <w:p w:rsidR="00202C91" w:rsidRDefault="00202C91" w:rsidP="00D41C42">
            <w:pPr>
              <w:jc w:val="center"/>
              <w:rPr>
                <w:rFonts w:ascii="Arial Narrow" w:hAnsi="Arial Narrow"/>
                <w:b/>
                <w:bCs/>
                <w:color w:val="000000"/>
              </w:rPr>
            </w:pPr>
            <w:r>
              <w:rPr>
                <w:rFonts w:ascii="Arial Narrow" w:hAnsi="Arial Narrow"/>
                <w:b/>
                <w:bCs/>
                <w:color w:val="000000"/>
                <w:lang w:val="es-ES"/>
              </w:rPr>
              <w:t>47</w:t>
            </w:r>
          </w:p>
        </w:tc>
        <w:tc>
          <w:tcPr>
            <w:tcW w:w="1559" w:type="dxa"/>
            <w:tcBorders>
              <w:top w:val="nil"/>
              <w:left w:val="nil"/>
              <w:bottom w:val="single" w:sz="8" w:space="0" w:color="000000"/>
              <w:right w:val="single" w:sz="8" w:space="0" w:color="000000"/>
            </w:tcBorders>
            <w:shd w:val="clear" w:color="auto" w:fill="auto"/>
            <w:vAlign w:val="center"/>
            <w:hideMark/>
          </w:tcPr>
          <w:p w:rsidR="00202C91" w:rsidRDefault="00202C91" w:rsidP="00D41C42">
            <w:pPr>
              <w:jc w:val="center"/>
              <w:rPr>
                <w:rFonts w:ascii="Arial Narrow" w:hAnsi="Arial Narrow"/>
                <w:b/>
                <w:bCs/>
                <w:color w:val="000000"/>
              </w:rPr>
            </w:pPr>
            <w:r>
              <w:rPr>
                <w:rFonts w:ascii="Arial Narrow" w:hAnsi="Arial Narrow"/>
                <w:b/>
                <w:bCs/>
                <w:color w:val="000000"/>
                <w:lang w:val="es-ES"/>
              </w:rPr>
              <w:t>0</w:t>
            </w:r>
          </w:p>
        </w:tc>
      </w:tr>
    </w:tbl>
    <w:p w:rsidR="00552574" w:rsidRPr="00CD728B" w:rsidRDefault="00552574" w:rsidP="002E7D47">
      <w:pPr>
        <w:autoSpaceDE w:val="0"/>
        <w:autoSpaceDN w:val="0"/>
        <w:adjustRightInd w:val="0"/>
        <w:spacing w:after="0" w:line="360" w:lineRule="auto"/>
        <w:contextualSpacing/>
        <w:jc w:val="both"/>
        <w:rPr>
          <w:rFonts w:ascii="Arial Narrow" w:hAnsi="Arial Narrow" w:cs="Arial"/>
          <w:sz w:val="24"/>
          <w:szCs w:val="24"/>
        </w:rPr>
      </w:pPr>
    </w:p>
    <w:p w:rsidR="005A0F6E" w:rsidRPr="00CD728B" w:rsidRDefault="005A0F6E" w:rsidP="002E7D47">
      <w:pPr>
        <w:contextualSpacing/>
        <w:rPr>
          <w:rFonts w:ascii="Arial Narrow" w:hAnsi="Arial Narrow" w:cs="Arial"/>
          <w:sz w:val="24"/>
          <w:szCs w:val="24"/>
        </w:rPr>
      </w:pPr>
      <w:r w:rsidRPr="00CD728B">
        <w:rPr>
          <w:rFonts w:ascii="Arial Narrow" w:hAnsi="Arial Narrow" w:cs="Arial"/>
          <w:sz w:val="24"/>
          <w:szCs w:val="24"/>
        </w:rPr>
        <w:br w:type="page"/>
      </w:r>
    </w:p>
    <w:p w:rsidR="00940CBA" w:rsidRPr="00CD728B" w:rsidRDefault="00AF69FA" w:rsidP="002E7D47">
      <w:pPr>
        <w:pStyle w:val="Ttulo1"/>
        <w:numPr>
          <w:ilvl w:val="0"/>
          <w:numId w:val="9"/>
        </w:numPr>
        <w:contextualSpacing/>
        <w:rPr>
          <w:rFonts w:ascii="Arial Narrow" w:hAnsi="Arial Narrow"/>
          <w:b/>
          <w:color w:val="auto"/>
          <w:sz w:val="24"/>
          <w:szCs w:val="24"/>
        </w:rPr>
      </w:pPr>
      <w:bookmarkStart w:id="10" w:name="_Toc14293711"/>
      <w:r w:rsidRPr="00CD728B">
        <w:rPr>
          <w:rFonts w:ascii="Arial Narrow" w:hAnsi="Arial Narrow"/>
          <w:b/>
          <w:color w:val="auto"/>
          <w:sz w:val="24"/>
          <w:szCs w:val="24"/>
        </w:rPr>
        <w:lastRenderedPageBreak/>
        <w:t>PODER EJECUTIVO</w:t>
      </w:r>
      <w:bookmarkEnd w:id="10"/>
    </w:p>
    <w:p w:rsidR="00940CBA" w:rsidRPr="00CD728B" w:rsidRDefault="00940CBA" w:rsidP="002E7D47">
      <w:pPr>
        <w:contextualSpacing/>
        <w:rPr>
          <w:rFonts w:ascii="Arial Narrow" w:hAnsi="Arial Narrow"/>
          <w:b/>
          <w:sz w:val="24"/>
          <w:szCs w:val="24"/>
        </w:rPr>
      </w:pPr>
    </w:p>
    <w:p w:rsidR="00940CBA" w:rsidRPr="00CD728B" w:rsidRDefault="00AF69FA" w:rsidP="002E7D47">
      <w:pPr>
        <w:pStyle w:val="Ttulo2"/>
        <w:numPr>
          <w:ilvl w:val="1"/>
          <w:numId w:val="9"/>
        </w:numPr>
        <w:contextualSpacing/>
        <w:rPr>
          <w:rFonts w:ascii="Arial Narrow" w:hAnsi="Arial Narrow"/>
          <w:b/>
          <w:color w:val="auto"/>
          <w:sz w:val="24"/>
          <w:szCs w:val="24"/>
        </w:rPr>
      </w:pPr>
      <w:bookmarkStart w:id="11" w:name="_Toc14293712"/>
      <w:r w:rsidRPr="00CD728B">
        <w:rPr>
          <w:rFonts w:ascii="Arial Narrow" w:hAnsi="Arial Narrow"/>
          <w:b/>
          <w:color w:val="auto"/>
          <w:sz w:val="24"/>
          <w:szCs w:val="24"/>
        </w:rPr>
        <w:t>ADMINISTRACIÓN CENTRAL</w:t>
      </w:r>
      <w:bookmarkEnd w:id="11"/>
    </w:p>
    <w:p w:rsidR="002E7D47" w:rsidRPr="00CD728B" w:rsidRDefault="00940CBA" w:rsidP="002E7D47">
      <w:pPr>
        <w:spacing w:before="100" w:beforeAutospacing="1" w:after="100" w:afterAutospacing="1" w:line="360" w:lineRule="auto"/>
        <w:contextualSpacing/>
        <w:jc w:val="both"/>
        <w:rPr>
          <w:rFonts w:ascii="Arial Narrow" w:hAnsi="Arial Narrow"/>
          <w:sz w:val="24"/>
          <w:szCs w:val="24"/>
        </w:rPr>
      </w:pPr>
      <w:r w:rsidRPr="00CD728B">
        <w:rPr>
          <w:rFonts w:ascii="Arial Narrow" w:hAnsi="Arial Narrow"/>
          <w:sz w:val="24"/>
          <w:szCs w:val="24"/>
        </w:rPr>
        <w:t xml:space="preserve">El ámbito del Poder Ejecutivo por lo que corresponde a la Administración Central de la Ciudad de México, al 31 de diciembre de 2018 estaba conformado por 23 </w:t>
      </w:r>
      <w:r w:rsidR="003C3757" w:rsidRPr="00CD728B">
        <w:rPr>
          <w:rFonts w:ascii="Arial Narrow" w:hAnsi="Arial Narrow"/>
          <w:sz w:val="24"/>
          <w:szCs w:val="24"/>
        </w:rPr>
        <w:t>Sujetos Obligados</w:t>
      </w:r>
      <w:r w:rsidRPr="00CD728B">
        <w:rPr>
          <w:rFonts w:ascii="Arial Narrow" w:hAnsi="Arial Narrow"/>
          <w:sz w:val="24"/>
          <w:szCs w:val="24"/>
        </w:rPr>
        <w:t xml:space="preserve">, de conformidad con el </w:t>
      </w:r>
      <w:r w:rsidRPr="00CD728B">
        <w:rPr>
          <w:rFonts w:ascii="Arial Narrow" w:hAnsi="Arial Narrow" w:cs="Arial"/>
          <w:sz w:val="24"/>
          <w:szCs w:val="24"/>
        </w:rPr>
        <w:t xml:space="preserve">Padrón de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supeditados al cumplimiento de la Ley de Transparencia, Acceso a la Información Pública y Rendición de Cuentas de la Ciudad de México</w:t>
      </w:r>
      <w:r w:rsidRPr="00CD728B" w:rsidDel="005B5D1B">
        <w:rPr>
          <w:rFonts w:ascii="Arial Narrow" w:hAnsi="Arial Narrow" w:cs="Arial"/>
          <w:sz w:val="24"/>
          <w:szCs w:val="24"/>
        </w:rPr>
        <w:t xml:space="preserve"> </w:t>
      </w:r>
      <w:r w:rsidRPr="00CD728B">
        <w:rPr>
          <w:rFonts w:ascii="Arial Narrow" w:hAnsi="Arial Narrow" w:cs="Arial"/>
          <w:sz w:val="24"/>
          <w:szCs w:val="24"/>
        </w:rPr>
        <w:t xml:space="preserve">y de la Ley de Protección de Datos Personales en Posesión de los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de la Ciudad de México (Padrón)</w:t>
      </w:r>
      <w:r w:rsidRPr="00CD728B">
        <w:rPr>
          <w:rFonts w:ascii="Arial Narrow" w:hAnsi="Arial Narrow"/>
          <w:sz w:val="24"/>
          <w:szCs w:val="24"/>
        </w:rPr>
        <w:t xml:space="preserve">. </w:t>
      </w:r>
    </w:p>
    <w:p w:rsidR="002E7D47" w:rsidRPr="00CD728B" w:rsidRDefault="002E7D47" w:rsidP="002E7D47">
      <w:pPr>
        <w:spacing w:before="100" w:beforeAutospacing="1" w:after="100" w:afterAutospacing="1" w:line="360" w:lineRule="auto"/>
        <w:contextualSpacing/>
        <w:jc w:val="both"/>
        <w:rPr>
          <w:rFonts w:ascii="Arial Narrow" w:hAnsi="Arial Narrow"/>
          <w:sz w:val="24"/>
          <w:szCs w:val="24"/>
        </w:rPr>
      </w:pPr>
    </w:p>
    <w:p w:rsidR="00940CBA" w:rsidRPr="00CD728B" w:rsidRDefault="00940CBA"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sz w:val="24"/>
          <w:szCs w:val="24"/>
        </w:rPr>
        <w:t xml:space="preserve">Los </w:t>
      </w:r>
      <w:r w:rsidR="003C3757" w:rsidRPr="00CD728B">
        <w:rPr>
          <w:rFonts w:ascii="Arial Narrow" w:hAnsi="Arial Narrow"/>
          <w:sz w:val="24"/>
          <w:szCs w:val="24"/>
        </w:rPr>
        <w:t>Sujetos Obligados</w:t>
      </w:r>
      <w:r w:rsidRPr="00CD728B">
        <w:rPr>
          <w:rFonts w:ascii="Arial Narrow" w:hAnsi="Arial Narrow"/>
          <w:sz w:val="24"/>
          <w:szCs w:val="24"/>
        </w:rPr>
        <w:t xml:space="preserve">, así como su </w:t>
      </w:r>
      <w:r w:rsidRPr="00CD728B">
        <w:rPr>
          <w:rFonts w:ascii="Arial Narrow" w:hAnsi="Arial Narrow" w:cs="Arial"/>
          <w:sz w:val="24"/>
          <w:szCs w:val="24"/>
        </w:rPr>
        <w:t>Índice de Cumplimiento de Obligaciones de Transparencia del Portal de Internet (</w:t>
      </w:r>
      <w:r w:rsidR="00623A69">
        <w:rPr>
          <w:rFonts w:ascii="Arial Narrow" w:hAnsi="Arial Narrow" w:cs="Arial"/>
          <w:sz w:val="24"/>
          <w:szCs w:val="24"/>
        </w:rPr>
        <w:t>ICOT-PT</w:t>
      </w:r>
      <w:r w:rsidRPr="00CD728B">
        <w:rPr>
          <w:rFonts w:ascii="Arial Narrow" w:hAnsi="Arial Narrow" w:cs="Arial"/>
          <w:sz w:val="24"/>
          <w:szCs w:val="24"/>
        </w:rPr>
        <w:t>), el de la Plataforma Nacional de Transparencia (ICOT-PNT)</w:t>
      </w:r>
      <w:r w:rsidRPr="00CD728B">
        <w:rPr>
          <w:rFonts w:ascii="Arial Narrow" w:hAnsi="Arial Narrow"/>
          <w:sz w:val="24"/>
          <w:szCs w:val="24"/>
        </w:rPr>
        <w:t xml:space="preserve"> y el </w:t>
      </w:r>
      <w:r w:rsidRPr="00CD728B">
        <w:rPr>
          <w:rFonts w:ascii="Arial Narrow" w:hAnsi="Arial Narrow" w:cs="Arial"/>
          <w:sz w:val="24"/>
          <w:szCs w:val="24"/>
        </w:rPr>
        <w:t xml:space="preserve">Índice General de Cumplimiento de Obligaciones de Transparencia (IGOT) se presentan en la siguiente tabla, ordenados de forma descendente, respecto del IGOT: </w:t>
      </w:r>
    </w:p>
    <w:p w:rsidR="00940CBA" w:rsidRPr="00CD728B" w:rsidRDefault="00940CBA" w:rsidP="002E7D47">
      <w:pPr>
        <w:spacing w:before="100" w:beforeAutospacing="1" w:after="100" w:afterAutospacing="1" w:line="360" w:lineRule="auto"/>
        <w:contextualSpacing/>
        <w:jc w:val="both"/>
        <w:rPr>
          <w:rFonts w:ascii="Arial Narrow" w:hAnsi="Arial Narrow" w:cs="Arial"/>
          <w:sz w:val="24"/>
          <w:szCs w:val="24"/>
        </w:rPr>
      </w:pPr>
    </w:p>
    <w:tbl>
      <w:tblPr>
        <w:tblW w:w="8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740"/>
        <w:gridCol w:w="993"/>
        <w:gridCol w:w="1064"/>
        <w:gridCol w:w="1181"/>
      </w:tblGrid>
      <w:tr w:rsidR="00940CBA" w:rsidRPr="00CD728B" w:rsidTr="003D1EE2">
        <w:trPr>
          <w:trHeight w:val="320"/>
          <w:tblHeader/>
        </w:trPr>
        <w:tc>
          <w:tcPr>
            <w:tcW w:w="8978" w:type="dxa"/>
            <w:gridSpan w:val="4"/>
            <w:shd w:val="clear" w:color="auto" w:fill="33CCCC"/>
            <w:noWrap/>
            <w:vAlign w:val="center"/>
            <w:hideMark/>
          </w:tcPr>
          <w:p w:rsidR="00940CBA" w:rsidRPr="00CD728B" w:rsidRDefault="00940CBA" w:rsidP="002E7D47">
            <w:pPr>
              <w:spacing w:before="100" w:beforeAutospacing="1" w:after="100" w:afterAutospacing="1" w:line="360" w:lineRule="auto"/>
              <w:contextualSpacing/>
              <w:jc w:val="center"/>
              <w:rPr>
                <w:rFonts w:ascii="Arial Narrow" w:eastAsia="Times New Roman" w:hAnsi="Arial Narrow" w:cs="Calibri"/>
                <w:b/>
                <w:bCs/>
                <w:sz w:val="24"/>
                <w:szCs w:val="24"/>
                <w:lang w:val="es-MX" w:eastAsia="es-ES_tradnl"/>
              </w:rPr>
            </w:pPr>
            <w:r w:rsidRPr="00CD728B">
              <w:rPr>
                <w:rFonts w:ascii="Arial Narrow" w:eastAsia="Times New Roman" w:hAnsi="Arial Narrow" w:cs="Calibri"/>
                <w:b/>
                <w:bCs/>
                <w:sz w:val="24"/>
                <w:szCs w:val="24"/>
                <w:lang w:val="es-MX" w:eastAsia="es-ES_tradnl"/>
              </w:rPr>
              <w:t>Resultados de la Evaluación Vinculante 2019, respecto del ejercicio 2018</w:t>
            </w:r>
          </w:p>
        </w:tc>
      </w:tr>
      <w:tr w:rsidR="00940CBA" w:rsidRPr="00CD728B" w:rsidTr="002E7D47">
        <w:trPr>
          <w:trHeight w:val="320"/>
          <w:tblHeader/>
        </w:trPr>
        <w:tc>
          <w:tcPr>
            <w:tcW w:w="5740" w:type="dxa"/>
            <w:shd w:val="clear" w:color="auto" w:fill="33CCCC"/>
            <w:noWrap/>
            <w:vAlign w:val="center"/>
            <w:hideMark/>
          </w:tcPr>
          <w:p w:rsidR="00940CBA" w:rsidRPr="00CD728B" w:rsidRDefault="00940CBA" w:rsidP="002E7D47">
            <w:pPr>
              <w:spacing w:before="100" w:beforeAutospacing="1" w:after="100" w:afterAutospacing="1" w:line="360" w:lineRule="auto"/>
              <w:contextualSpacing/>
              <w:jc w:val="center"/>
              <w:rPr>
                <w:rFonts w:ascii="Arial Narrow" w:eastAsia="Times New Roman" w:hAnsi="Arial Narrow" w:cs="Calibri"/>
                <w:b/>
                <w:bCs/>
                <w:sz w:val="24"/>
                <w:szCs w:val="24"/>
                <w:lang w:val="es-MX" w:eastAsia="es-ES_tradnl"/>
              </w:rPr>
            </w:pPr>
            <w:r w:rsidRPr="00CD728B">
              <w:rPr>
                <w:rFonts w:ascii="Arial Narrow" w:eastAsia="Times New Roman" w:hAnsi="Arial Narrow" w:cs="Calibri"/>
                <w:b/>
                <w:bCs/>
                <w:sz w:val="24"/>
                <w:szCs w:val="24"/>
                <w:lang w:val="es-MX" w:eastAsia="es-ES_tradnl"/>
              </w:rPr>
              <w:t>Sujeto Obligado</w:t>
            </w:r>
          </w:p>
        </w:tc>
        <w:tc>
          <w:tcPr>
            <w:tcW w:w="993" w:type="dxa"/>
            <w:shd w:val="clear" w:color="auto" w:fill="33CCCC"/>
            <w:noWrap/>
            <w:vAlign w:val="center"/>
            <w:hideMark/>
          </w:tcPr>
          <w:p w:rsidR="00940CBA" w:rsidRPr="00CD728B" w:rsidRDefault="00940CBA" w:rsidP="002E7D47">
            <w:pPr>
              <w:spacing w:before="100" w:beforeAutospacing="1" w:after="100" w:afterAutospacing="1" w:line="360" w:lineRule="auto"/>
              <w:contextualSpacing/>
              <w:jc w:val="center"/>
              <w:rPr>
                <w:rFonts w:ascii="Arial Narrow" w:eastAsia="Times New Roman" w:hAnsi="Arial Narrow" w:cs="Calibri"/>
                <w:b/>
                <w:bCs/>
                <w:sz w:val="24"/>
                <w:szCs w:val="24"/>
                <w:lang w:val="es-MX" w:eastAsia="es-ES_tradnl"/>
              </w:rPr>
            </w:pPr>
            <w:r w:rsidRPr="00CD728B">
              <w:rPr>
                <w:rFonts w:ascii="Arial Narrow" w:eastAsia="Times New Roman" w:hAnsi="Arial Narrow" w:cs="Calibri"/>
                <w:b/>
                <w:bCs/>
                <w:sz w:val="24"/>
                <w:szCs w:val="24"/>
                <w:lang w:val="es-MX" w:eastAsia="es-ES_tradnl"/>
              </w:rPr>
              <w:t>IGOT</w:t>
            </w:r>
          </w:p>
        </w:tc>
        <w:tc>
          <w:tcPr>
            <w:tcW w:w="1064" w:type="dxa"/>
            <w:shd w:val="clear" w:color="auto" w:fill="33CCCC"/>
            <w:noWrap/>
            <w:vAlign w:val="center"/>
            <w:hideMark/>
          </w:tcPr>
          <w:p w:rsidR="00940CBA" w:rsidRPr="00CD728B" w:rsidRDefault="00623A69" w:rsidP="002E7D47">
            <w:pPr>
              <w:spacing w:before="100" w:beforeAutospacing="1" w:after="100" w:afterAutospacing="1" w:line="360" w:lineRule="auto"/>
              <w:contextualSpacing/>
              <w:jc w:val="center"/>
              <w:rPr>
                <w:rFonts w:ascii="Arial Narrow" w:eastAsia="Times New Roman" w:hAnsi="Arial Narrow" w:cs="Calibri"/>
                <w:b/>
                <w:bCs/>
                <w:sz w:val="24"/>
                <w:szCs w:val="24"/>
                <w:lang w:val="es-MX" w:eastAsia="es-ES_tradnl"/>
              </w:rPr>
            </w:pPr>
            <w:r>
              <w:rPr>
                <w:rFonts w:ascii="Arial Narrow" w:eastAsia="Times New Roman" w:hAnsi="Arial Narrow" w:cs="Calibri"/>
                <w:b/>
                <w:bCs/>
                <w:sz w:val="24"/>
                <w:szCs w:val="24"/>
                <w:lang w:val="es-MX" w:eastAsia="es-ES_tradnl"/>
              </w:rPr>
              <w:t>ICOT-PT</w:t>
            </w:r>
          </w:p>
        </w:tc>
        <w:tc>
          <w:tcPr>
            <w:tcW w:w="1181" w:type="dxa"/>
            <w:shd w:val="clear" w:color="auto" w:fill="33CCCC"/>
            <w:noWrap/>
            <w:vAlign w:val="center"/>
            <w:hideMark/>
          </w:tcPr>
          <w:p w:rsidR="00940CBA" w:rsidRPr="00CD728B" w:rsidRDefault="00940CBA" w:rsidP="002E7D47">
            <w:pPr>
              <w:spacing w:before="100" w:beforeAutospacing="1" w:after="100" w:afterAutospacing="1" w:line="360" w:lineRule="auto"/>
              <w:contextualSpacing/>
              <w:jc w:val="center"/>
              <w:rPr>
                <w:rFonts w:ascii="Arial Narrow" w:eastAsia="Times New Roman" w:hAnsi="Arial Narrow" w:cs="Calibri"/>
                <w:b/>
                <w:bCs/>
                <w:sz w:val="24"/>
                <w:szCs w:val="24"/>
                <w:lang w:val="es-MX" w:eastAsia="es-ES_tradnl"/>
              </w:rPr>
            </w:pPr>
            <w:r w:rsidRPr="00CD728B">
              <w:rPr>
                <w:rFonts w:ascii="Arial Narrow" w:eastAsia="Times New Roman" w:hAnsi="Arial Narrow" w:cs="Calibri"/>
                <w:b/>
                <w:bCs/>
                <w:sz w:val="24"/>
                <w:szCs w:val="24"/>
                <w:lang w:val="es-MX" w:eastAsia="es-ES_tradnl"/>
              </w:rPr>
              <w:t>ICOT-PNT</w:t>
            </w:r>
          </w:p>
        </w:tc>
      </w:tr>
      <w:tr w:rsidR="00940CBA" w:rsidRPr="00CD728B" w:rsidTr="006C722A">
        <w:trPr>
          <w:trHeight w:val="300"/>
        </w:trPr>
        <w:tc>
          <w:tcPr>
            <w:tcW w:w="5740" w:type="dxa"/>
            <w:shd w:val="clear" w:color="000000" w:fill="FFFFFF"/>
            <w:noWrap/>
            <w:vAlign w:val="center"/>
            <w:hideMark/>
          </w:tcPr>
          <w:p w:rsidR="00940CBA" w:rsidRPr="00CD728B" w:rsidRDefault="00940CBA" w:rsidP="002E7D47">
            <w:pPr>
              <w:spacing w:before="100" w:beforeAutospacing="1" w:after="100" w:afterAutospacing="1" w:line="360" w:lineRule="auto"/>
              <w:contextualSpacing/>
              <w:jc w:val="both"/>
              <w:rPr>
                <w:rFonts w:ascii="Arial Narrow" w:eastAsia="Times New Roman" w:hAnsi="Arial Narrow" w:cs="Calibri"/>
                <w:sz w:val="24"/>
                <w:szCs w:val="24"/>
                <w:lang w:val="es-MX" w:eastAsia="es-ES_tradnl"/>
              </w:rPr>
            </w:pPr>
            <w:r w:rsidRPr="00CD728B">
              <w:rPr>
                <w:rFonts w:ascii="Arial Narrow" w:eastAsia="Times New Roman" w:hAnsi="Arial Narrow" w:cs="Calibri"/>
                <w:sz w:val="24"/>
                <w:szCs w:val="24"/>
                <w:lang w:val="es-MX" w:eastAsia="es-ES_tradnl"/>
              </w:rPr>
              <w:t>Secretaría de Finanzas</w:t>
            </w:r>
          </w:p>
        </w:tc>
        <w:tc>
          <w:tcPr>
            <w:tcW w:w="993" w:type="dxa"/>
            <w:shd w:val="clear" w:color="auto" w:fill="C9C9C9" w:themeFill="accent3" w:themeFillTint="99"/>
            <w:noWrap/>
            <w:vAlign w:val="center"/>
            <w:hideMark/>
          </w:tcPr>
          <w:p w:rsidR="00940CBA" w:rsidRPr="00CD728B" w:rsidRDefault="00940CBA" w:rsidP="002E7D47">
            <w:pPr>
              <w:spacing w:before="100" w:beforeAutospacing="1" w:after="100" w:afterAutospacing="1" w:line="360" w:lineRule="auto"/>
              <w:contextualSpacing/>
              <w:jc w:val="both"/>
              <w:rPr>
                <w:rFonts w:ascii="Arial Narrow" w:eastAsia="Times New Roman" w:hAnsi="Arial Narrow" w:cs="Calibri"/>
                <w:sz w:val="24"/>
                <w:szCs w:val="24"/>
                <w:lang w:val="es-MX" w:eastAsia="es-ES_tradnl"/>
              </w:rPr>
            </w:pPr>
            <w:r w:rsidRPr="00CD728B">
              <w:rPr>
                <w:rFonts w:ascii="Arial Narrow" w:eastAsia="Times New Roman" w:hAnsi="Arial Narrow" w:cs="Calibri"/>
                <w:sz w:val="24"/>
                <w:szCs w:val="24"/>
                <w:lang w:val="es-MX" w:eastAsia="es-ES_tradnl"/>
              </w:rPr>
              <w:t>100.00</w:t>
            </w:r>
          </w:p>
        </w:tc>
        <w:tc>
          <w:tcPr>
            <w:tcW w:w="1064" w:type="dxa"/>
            <w:shd w:val="clear" w:color="000000" w:fill="FFFFFF"/>
            <w:noWrap/>
            <w:vAlign w:val="center"/>
            <w:hideMark/>
          </w:tcPr>
          <w:p w:rsidR="00940CBA" w:rsidRPr="00CD728B" w:rsidRDefault="00940CBA" w:rsidP="002E7D47">
            <w:pPr>
              <w:spacing w:before="100" w:beforeAutospacing="1" w:after="100" w:afterAutospacing="1" w:line="360" w:lineRule="auto"/>
              <w:contextualSpacing/>
              <w:jc w:val="both"/>
              <w:rPr>
                <w:rFonts w:ascii="Arial Narrow" w:eastAsia="Times New Roman" w:hAnsi="Arial Narrow" w:cs="Calibri"/>
                <w:sz w:val="24"/>
                <w:szCs w:val="24"/>
                <w:lang w:val="es-MX" w:eastAsia="es-ES_tradnl"/>
              </w:rPr>
            </w:pPr>
            <w:r w:rsidRPr="00CD728B">
              <w:rPr>
                <w:rFonts w:ascii="Arial Narrow" w:eastAsia="Times New Roman" w:hAnsi="Arial Narrow" w:cs="Calibri"/>
                <w:sz w:val="24"/>
                <w:szCs w:val="24"/>
                <w:lang w:val="es-MX" w:eastAsia="es-ES_tradnl"/>
              </w:rPr>
              <w:t>100.00</w:t>
            </w:r>
          </w:p>
        </w:tc>
        <w:tc>
          <w:tcPr>
            <w:tcW w:w="1181" w:type="dxa"/>
            <w:shd w:val="clear" w:color="000000" w:fill="FFFFFF"/>
            <w:noWrap/>
            <w:vAlign w:val="center"/>
            <w:hideMark/>
          </w:tcPr>
          <w:p w:rsidR="00940CBA" w:rsidRPr="00CD728B" w:rsidRDefault="00940CBA" w:rsidP="002E7D47">
            <w:pPr>
              <w:spacing w:before="100" w:beforeAutospacing="1" w:after="100" w:afterAutospacing="1" w:line="360" w:lineRule="auto"/>
              <w:contextualSpacing/>
              <w:jc w:val="both"/>
              <w:rPr>
                <w:rFonts w:ascii="Arial Narrow" w:eastAsia="Times New Roman" w:hAnsi="Arial Narrow" w:cs="Calibri"/>
                <w:sz w:val="24"/>
                <w:szCs w:val="24"/>
                <w:lang w:val="es-MX" w:eastAsia="es-ES_tradnl"/>
              </w:rPr>
            </w:pPr>
            <w:r w:rsidRPr="00CD728B">
              <w:rPr>
                <w:rFonts w:ascii="Arial Narrow" w:eastAsia="Times New Roman" w:hAnsi="Arial Narrow" w:cs="Calibri"/>
                <w:sz w:val="24"/>
                <w:szCs w:val="24"/>
                <w:lang w:val="es-MX" w:eastAsia="es-ES_tradnl"/>
              </w:rPr>
              <w:t>100.00</w:t>
            </w:r>
          </w:p>
        </w:tc>
      </w:tr>
      <w:tr w:rsidR="00940CBA" w:rsidRPr="00CD728B" w:rsidTr="006C722A">
        <w:trPr>
          <w:trHeight w:val="300"/>
        </w:trPr>
        <w:tc>
          <w:tcPr>
            <w:tcW w:w="5740" w:type="dxa"/>
            <w:shd w:val="clear" w:color="000000" w:fill="FFFFFF"/>
            <w:noWrap/>
            <w:vAlign w:val="center"/>
            <w:hideMark/>
          </w:tcPr>
          <w:p w:rsidR="00940CBA" w:rsidRPr="00CD728B" w:rsidRDefault="00940CBA" w:rsidP="002E7D47">
            <w:pPr>
              <w:spacing w:before="100" w:beforeAutospacing="1" w:after="100" w:afterAutospacing="1" w:line="360" w:lineRule="auto"/>
              <w:contextualSpacing/>
              <w:jc w:val="both"/>
              <w:rPr>
                <w:rFonts w:ascii="Arial Narrow" w:eastAsia="Times New Roman" w:hAnsi="Arial Narrow" w:cs="Calibri"/>
                <w:sz w:val="24"/>
                <w:szCs w:val="24"/>
                <w:lang w:val="es-MX" w:eastAsia="es-ES_tradnl"/>
              </w:rPr>
            </w:pPr>
            <w:r w:rsidRPr="00CD728B">
              <w:rPr>
                <w:rFonts w:ascii="Arial Narrow" w:eastAsia="Times New Roman" w:hAnsi="Arial Narrow" w:cs="Calibri"/>
                <w:sz w:val="24"/>
                <w:szCs w:val="24"/>
                <w:lang w:val="es-MX" w:eastAsia="es-ES_tradnl"/>
              </w:rPr>
              <w:t>Secretaría de Desarrollo Social</w:t>
            </w:r>
          </w:p>
        </w:tc>
        <w:tc>
          <w:tcPr>
            <w:tcW w:w="993" w:type="dxa"/>
            <w:shd w:val="clear" w:color="auto" w:fill="C9C9C9" w:themeFill="accent3" w:themeFillTint="99"/>
            <w:noWrap/>
            <w:vAlign w:val="center"/>
            <w:hideMark/>
          </w:tcPr>
          <w:p w:rsidR="00940CBA" w:rsidRPr="00CD728B" w:rsidRDefault="00940CBA" w:rsidP="002E7D47">
            <w:pPr>
              <w:spacing w:before="100" w:beforeAutospacing="1" w:after="100" w:afterAutospacing="1" w:line="360" w:lineRule="auto"/>
              <w:contextualSpacing/>
              <w:jc w:val="both"/>
              <w:rPr>
                <w:rFonts w:ascii="Arial Narrow" w:eastAsia="Times New Roman" w:hAnsi="Arial Narrow" w:cs="Calibri"/>
                <w:sz w:val="24"/>
                <w:szCs w:val="24"/>
                <w:lang w:val="es-MX" w:eastAsia="es-ES_tradnl"/>
              </w:rPr>
            </w:pPr>
            <w:r w:rsidRPr="00CD728B">
              <w:rPr>
                <w:rFonts w:ascii="Arial Narrow" w:eastAsia="Times New Roman" w:hAnsi="Arial Narrow" w:cs="Calibri"/>
                <w:sz w:val="24"/>
                <w:szCs w:val="24"/>
                <w:lang w:val="es-MX" w:eastAsia="es-ES_tradnl"/>
              </w:rPr>
              <w:t>100.00</w:t>
            </w:r>
          </w:p>
        </w:tc>
        <w:tc>
          <w:tcPr>
            <w:tcW w:w="1064" w:type="dxa"/>
            <w:shd w:val="clear" w:color="000000" w:fill="FFFFFF"/>
            <w:noWrap/>
            <w:vAlign w:val="center"/>
            <w:hideMark/>
          </w:tcPr>
          <w:p w:rsidR="00940CBA" w:rsidRPr="00CD728B" w:rsidRDefault="00940CBA" w:rsidP="002E7D47">
            <w:pPr>
              <w:spacing w:before="100" w:beforeAutospacing="1" w:after="100" w:afterAutospacing="1" w:line="360" w:lineRule="auto"/>
              <w:contextualSpacing/>
              <w:jc w:val="both"/>
              <w:rPr>
                <w:rFonts w:ascii="Arial Narrow" w:eastAsia="Times New Roman" w:hAnsi="Arial Narrow" w:cs="Calibri"/>
                <w:sz w:val="24"/>
                <w:szCs w:val="24"/>
                <w:lang w:val="es-MX" w:eastAsia="es-ES_tradnl"/>
              </w:rPr>
            </w:pPr>
            <w:r w:rsidRPr="00CD728B">
              <w:rPr>
                <w:rFonts w:ascii="Arial Narrow" w:eastAsia="Times New Roman" w:hAnsi="Arial Narrow" w:cs="Calibri"/>
                <w:sz w:val="24"/>
                <w:szCs w:val="24"/>
                <w:lang w:val="es-MX" w:eastAsia="es-ES_tradnl"/>
              </w:rPr>
              <w:t>100.00</w:t>
            </w:r>
          </w:p>
        </w:tc>
        <w:tc>
          <w:tcPr>
            <w:tcW w:w="1181" w:type="dxa"/>
            <w:shd w:val="clear" w:color="000000" w:fill="FFFFFF"/>
            <w:noWrap/>
            <w:vAlign w:val="center"/>
            <w:hideMark/>
          </w:tcPr>
          <w:p w:rsidR="00940CBA" w:rsidRPr="00CD728B" w:rsidRDefault="00940CBA" w:rsidP="002E7D47">
            <w:pPr>
              <w:spacing w:before="100" w:beforeAutospacing="1" w:after="100" w:afterAutospacing="1" w:line="360" w:lineRule="auto"/>
              <w:contextualSpacing/>
              <w:jc w:val="both"/>
              <w:rPr>
                <w:rFonts w:ascii="Arial Narrow" w:eastAsia="Times New Roman" w:hAnsi="Arial Narrow" w:cs="Calibri"/>
                <w:sz w:val="24"/>
                <w:szCs w:val="24"/>
                <w:lang w:val="es-MX" w:eastAsia="es-ES_tradnl"/>
              </w:rPr>
            </w:pPr>
            <w:r w:rsidRPr="00CD728B">
              <w:rPr>
                <w:rFonts w:ascii="Arial Narrow" w:eastAsia="Times New Roman" w:hAnsi="Arial Narrow" w:cs="Calibri"/>
                <w:sz w:val="24"/>
                <w:szCs w:val="24"/>
                <w:lang w:val="es-MX" w:eastAsia="es-ES_tradnl"/>
              </w:rPr>
              <w:t>100.00</w:t>
            </w:r>
          </w:p>
        </w:tc>
      </w:tr>
      <w:tr w:rsidR="00940CBA" w:rsidRPr="00CD728B" w:rsidTr="006C722A">
        <w:trPr>
          <w:trHeight w:val="300"/>
        </w:trPr>
        <w:tc>
          <w:tcPr>
            <w:tcW w:w="5740" w:type="dxa"/>
            <w:shd w:val="clear" w:color="000000" w:fill="FFFFFF"/>
            <w:noWrap/>
            <w:vAlign w:val="center"/>
            <w:hideMark/>
          </w:tcPr>
          <w:p w:rsidR="00940CBA" w:rsidRPr="00CD728B" w:rsidRDefault="00940CBA" w:rsidP="002E7D47">
            <w:pPr>
              <w:spacing w:before="100" w:beforeAutospacing="1" w:after="100" w:afterAutospacing="1" w:line="360" w:lineRule="auto"/>
              <w:contextualSpacing/>
              <w:jc w:val="both"/>
              <w:rPr>
                <w:rFonts w:ascii="Arial Narrow" w:eastAsia="Times New Roman" w:hAnsi="Arial Narrow" w:cs="Calibri"/>
                <w:sz w:val="24"/>
                <w:szCs w:val="24"/>
                <w:lang w:val="es-MX" w:eastAsia="es-ES_tradnl"/>
              </w:rPr>
            </w:pPr>
            <w:r w:rsidRPr="00CD728B">
              <w:rPr>
                <w:rFonts w:ascii="Arial Narrow" w:eastAsia="Times New Roman" w:hAnsi="Arial Narrow" w:cs="Calibri"/>
                <w:sz w:val="24"/>
                <w:szCs w:val="24"/>
                <w:lang w:val="es-MX" w:eastAsia="es-ES_tradnl"/>
              </w:rPr>
              <w:t>Contraloría General del Distrito Federal</w:t>
            </w:r>
          </w:p>
        </w:tc>
        <w:tc>
          <w:tcPr>
            <w:tcW w:w="993" w:type="dxa"/>
            <w:shd w:val="clear" w:color="auto" w:fill="C9C9C9" w:themeFill="accent3" w:themeFillTint="99"/>
            <w:noWrap/>
            <w:vAlign w:val="center"/>
            <w:hideMark/>
          </w:tcPr>
          <w:p w:rsidR="00940CBA" w:rsidRPr="00CD728B" w:rsidRDefault="00940CBA" w:rsidP="002E7D47">
            <w:pPr>
              <w:spacing w:before="100" w:beforeAutospacing="1" w:after="100" w:afterAutospacing="1" w:line="360" w:lineRule="auto"/>
              <w:contextualSpacing/>
              <w:jc w:val="both"/>
              <w:rPr>
                <w:rFonts w:ascii="Arial Narrow" w:eastAsia="Times New Roman" w:hAnsi="Arial Narrow" w:cs="Calibri"/>
                <w:sz w:val="24"/>
                <w:szCs w:val="24"/>
                <w:lang w:val="es-MX" w:eastAsia="es-ES_tradnl"/>
              </w:rPr>
            </w:pPr>
            <w:r w:rsidRPr="00CD728B">
              <w:rPr>
                <w:rFonts w:ascii="Arial Narrow" w:eastAsia="Times New Roman" w:hAnsi="Arial Narrow" w:cs="Calibri"/>
                <w:sz w:val="24"/>
                <w:szCs w:val="24"/>
                <w:lang w:val="es-MX" w:eastAsia="es-ES_tradnl"/>
              </w:rPr>
              <w:t>97.89</w:t>
            </w:r>
          </w:p>
        </w:tc>
        <w:tc>
          <w:tcPr>
            <w:tcW w:w="1064" w:type="dxa"/>
            <w:shd w:val="clear" w:color="000000" w:fill="FFFFFF"/>
            <w:noWrap/>
            <w:vAlign w:val="center"/>
            <w:hideMark/>
          </w:tcPr>
          <w:p w:rsidR="00940CBA" w:rsidRPr="00CD728B" w:rsidRDefault="00940CBA" w:rsidP="002E7D47">
            <w:pPr>
              <w:spacing w:before="100" w:beforeAutospacing="1" w:after="100" w:afterAutospacing="1" w:line="360" w:lineRule="auto"/>
              <w:contextualSpacing/>
              <w:jc w:val="both"/>
              <w:rPr>
                <w:rFonts w:ascii="Arial Narrow" w:eastAsia="Times New Roman" w:hAnsi="Arial Narrow" w:cs="Calibri"/>
                <w:sz w:val="24"/>
                <w:szCs w:val="24"/>
                <w:lang w:val="es-MX" w:eastAsia="es-ES_tradnl"/>
              </w:rPr>
            </w:pPr>
            <w:r w:rsidRPr="00CD728B">
              <w:rPr>
                <w:rFonts w:ascii="Arial Narrow" w:eastAsia="Times New Roman" w:hAnsi="Arial Narrow" w:cs="Calibri"/>
                <w:sz w:val="24"/>
                <w:szCs w:val="24"/>
                <w:lang w:val="es-MX" w:eastAsia="es-ES_tradnl"/>
              </w:rPr>
              <w:t>97.54</w:t>
            </w:r>
          </w:p>
        </w:tc>
        <w:tc>
          <w:tcPr>
            <w:tcW w:w="1181" w:type="dxa"/>
            <w:shd w:val="clear" w:color="000000" w:fill="FFFFFF"/>
            <w:noWrap/>
            <w:vAlign w:val="center"/>
            <w:hideMark/>
          </w:tcPr>
          <w:p w:rsidR="00940CBA" w:rsidRPr="00CD728B" w:rsidRDefault="00940CBA" w:rsidP="002E7D47">
            <w:pPr>
              <w:spacing w:before="100" w:beforeAutospacing="1" w:after="100" w:afterAutospacing="1" w:line="360" w:lineRule="auto"/>
              <w:contextualSpacing/>
              <w:jc w:val="both"/>
              <w:rPr>
                <w:rFonts w:ascii="Arial Narrow" w:eastAsia="Times New Roman" w:hAnsi="Arial Narrow" w:cs="Calibri"/>
                <w:sz w:val="24"/>
                <w:szCs w:val="24"/>
                <w:lang w:val="es-MX" w:eastAsia="es-ES_tradnl"/>
              </w:rPr>
            </w:pPr>
            <w:r w:rsidRPr="00CD728B">
              <w:rPr>
                <w:rFonts w:ascii="Arial Narrow" w:eastAsia="Times New Roman" w:hAnsi="Arial Narrow" w:cs="Calibri"/>
                <w:sz w:val="24"/>
                <w:szCs w:val="24"/>
                <w:lang w:val="es-MX" w:eastAsia="es-ES_tradnl"/>
              </w:rPr>
              <w:t>98.23</w:t>
            </w:r>
          </w:p>
        </w:tc>
      </w:tr>
      <w:tr w:rsidR="00940CBA" w:rsidRPr="00CD728B" w:rsidTr="006C722A">
        <w:trPr>
          <w:trHeight w:val="300"/>
        </w:trPr>
        <w:tc>
          <w:tcPr>
            <w:tcW w:w="5740" w:type="dxa"/>
            <w:shd w:val="clear" w:color="000000" w:fill="FFFFFF"/>
            <w:noWrap/>
            <w:vAlign w:val="center"/>
            <w:hideMark/>
          </w:tcPr>
          <w:p w:rsidR="00940CBA" w:rsidRPr="00CD728B" w:rsidRDefault="00940CBA" w:rsidP="002E7D47">
            <w:pPr>
              <w:spacing w:before="100" w:beforeAutospacing="1" w:after="100" w:afterAutospacing="1" w:line="360" w:lineRule="auto"/>
              <w:contextualSpacing/>
              <w:jc w:val="both"/>
              <w:rPr>
                <w:rFonts w:ascii="Arial Narrow" w:eastAsia="Times New Roman" w:hAnsi="Arial Narrow" w:cs="Calibri"/>
                <w:sz w:val="24"/>
                <w:szCs w:val="24"/>
                <w:lang w:val="es-MX" w:eastAsia="es-ES_tradnl"/>
              </w:rPr>
            </w:pPr>
            <w:r w:rsidRPr="00CD728B">
              <w:rPr>
                <w:rFonts w:ascii="Arial Narrow" w:eastAsia="Times New Roman" w:hAnsi="Arial Narrow" w:cs="Calibri"/>
                <w:sz w:val="24"/>
                <w:szCs w:val="24"/>
                <w:lang w:val="es-MX" w:eastAsia="es-ES_tradnl"/>
              </w:rPr>
              <w:t>Secretaría del Medio Ambiente</w:t>
            </w:r>
          </w:p>
        </w:tc>
        <w:tc>
          <w:tcPr>
            <w:tcW w:w="993" w:type="dxa"/>
            <w:shd w:val="clear" w:color="auto" w:fill="C9C9C9" w:themeFill="accent3" w:themeFillTint="99"/>
            <w:noWrap/>
            <w:vAlign w:val="center"/>
            <w:hideMark/>
          </w:tcPr>
          <w:p w:rsidR="00940CBA" w:rsidRPr="00CD728B" w:rsidRDefault="00940CBA" w:rsidP="002E7D47">
            <w:pPr>
              <w:spacing w:before="100" w:beforeAutospacing="1" w:after="100" w:afterAutospacing="1" w:line="360" w:lineRule="auto"/>
              <w:contextualSpacing/>
              <w:jc w:val="both"/>
              <w:rPr>
                <w:rFonts w:ascii="Arial Narrow" w:eastAsia="Times New Roman" w:hAnsi="Arial Narrow" w:cs="Calibri"/>
                <w:sz w:val="24"/>
                <w:szCs w:val="24"/>
                <w:lang w:val="es-MX" w:eastAsia="es-ES_tradnl"/>
              </w:rPr>
            </w:pPr>
            <w:r w:rsidRPr="00CD728B">
              <w:rPr>
                <w:rFonts w:ascii="Arial Narrow" w:eastAsia="Times New Roman" w:hAnsi="Arial Narrow" w:cs="Calibri"/>
                <w:sz w:val="24"/>
                <w:szCs w:val="24"/>
                <w:lang w:val="es-MX" w:eastAsia="es-ES_tradnl"/>
              </w:rPr>
              <w:t>97.53</w:t>
            </w:r>
          </w:p>
        </w:tc>
        <w:tc>
          <w:tcPr>
            <w:tcW w:w="1064" w:type="dxa"/>
            <w:shd w:val="clear" w:color="000000" w:fill="FFFFFF"/>
            <w:noWrap/>
            <w:vAlign w:val="center"/>
            <w:hideMark/>
          </w:tcPr>
          <w:p w:rsidR="00940CBA" w:rsidRPr="00CD728B" w:rsidRDefault="00940CBA" w:rsidP="002E7D47">
            <w:pPr>
              <w:spacing w:before="100" w:beforeAutospacing="1" w:after="100" w:afterAutospacing="1" w:line="360" w:lineRule="auto"/>
              <w:contextualSpacing/>
              <w:jc w:val="both"/>
              <w:rPr>
                <w:rFonts w:ascii="Arial Narrow" w:eastAsia="Times New Roman" w:hAnsi="Arial Narrow" w:cs="Calibri"/>
                <w:sz w:val="24"/>
                <w:szCs w:val="24"/>
                <w:lang w:val="es-MX" w:eastAsia="es-ES_tradnl"/>
              </w:rPr>
            </w:pPr>
            <w:r w:rsidRPr="00CD728B">
              <w:rPr>
                <w:rFonts w:ascii="Arial Narrow" w:eastAsia="Times New Roman" w:hAnsi="Arial Narrow" w:cs="Calibri"/>
                <w:sz w:val="24"/>
                <w:szCs w:val="24"/>
                <w:lang w:val="es-MX" w:eastAsia="es-ES_tradnl"/>
              </w:rPr>
              <w:t>96.73</w:t>
            </w:r>
          </w:p>
        </w:tc>
        <w:tc>
          <w:tcPr>
            <w:tcW w:w="1181" w:type="dxa"/>
            <w:shd w:val="clear" w:color="000000" w:fill="FFFFFF"/>
            <w:noWrap/>
            <w:vAlign w:val="center"/>
            <w:hideMark/>
          </w:tcPr>
          <w:p w:rsidR="00940CBA" w:rsidRPr="00CD728B" w:rsidRDefault="00940CBA" w:rsidP="002E7D47">
            <w:pPr>
              <w:spacing w:before="100" w:beforeAutospacing="1" w:after="100" w:afterAutospacing="1" w:line="360" w:lineRule="auto"/>
              <w:contextualSpacing/>
              <w:jc w:val="both"/>
              <w:rPr>
                <w:rFonts w:ascii="Arial Narrow" w:eastAsia="Times New Roman" w:hAnsi="Arial Narrow" w:cs="Calibri"/>
                <w:sz w:val="24"/>
                <w:szCs w:val="24"/>
                <w:lang w:val="es-MX" w:eastAsia="es-ES_tradnl"/>
              </w:rPr>
            </w:pPr>
            <w:r w:rsidRPr="00CD728B">
              <w:rPr>
                <w:rFonts w:ascii="Arial Narrow" w:eastAsia="Times New Roman" w:hAnsi="Arial Narrow" w:cs="Calibri"/>
                <w:sz w:val="24"/>
                <w:szCs w:val="24"/>
                <w:lang w:val="es-MX" w:eastAsia="es-ES_tradnl"/>
              </w:rPr>
              <w:t>98.34</w:t>
            </w:r>
          </w:p>
        </w:tc>
      </w:tr>
      <w:tr w:rsidR="00940CBA" w:rsidRPr="00CD728B" w:rsidTr="006C722A">
        <w:trPr>
          <w:trHeight w:val="300"/>
        </w:trPr>
        <w:tc>
          <w:tcPr>
            <w:tcW w:w="5740" w:type="dxa"/>
            <w:shd w:val="clear" w:color="000000" w:fill="FFFFFF"/>
            <w:noWrap/>
            <w:vAlign w:val="center"/>
            <w:hideMark/>
          </w:tcPr>
          <w:p w:rsidR="00940CBA" w:rsidRPr="00CD728B" w:rsidRDefault="00940CBA" w:rsidP="002E7D47">
            <w:pPr>
              <w:spacing w:before="100" w:beforeAutospacing="1" w:after="100" w:afterAutospacing="1" w:line="360" w:lineRule="auto"/>
              <w:contextualSpacing/>
              <w:jc w:val="both"/>
              <w:rPr>
                <w:rFonts w:ascii="Arial Narrow" w:eastAsia="Times New Roman" w:hAnsi="Arial Narrow" w:cs="Calibri"/>
                <w:sz w:val="24"/>
                <w:szCs w:val="24"/>
                <w:lang w:val="es-MX" w:eastAsia="es-ES_tradnl"/>
              </w:rPr>
            </w:pPr>
            <w:r w:rsidRPr="00CD728B">
              <w:rPr>
                <w:rFonts w:ascii="Arial Narrow" w:eastAsia="Times New Roman" w:hAnsi="Arial Narrow" w:cs="Calibri"/>
                <w:sz w:val="24"/>
                <w:szCs w:val="24"/>
                <w:lang w:val="es-MX" w:eastAsia="es-ES_tradnl"/>
              </w:rPr>
              <w:t>Secretaría de Obras y Servicios</w:t>
            </w:r>
          </w:p>
        </w:tc>
        <w:tc>
          <w:tcPr>
            <w:tcW w:w="993" w:type="dxa"/>
            <w:shd w:val="clear" w:color="auto" w:fill="C9C9C9" w:themeFill="accent3" w:themeFillTint="99"/>
            <w:noWrap/>
            <w:vAlign w:val="center"/>
            <w:hideMark/>
          </w:tcPr>
          <w:p w:rsidR="00940CBA" w:rsidRPr="00CD728B" w:rsidRDefault="00940CBA" w:rsidP="002E7D47">
            <w:pPr>
              <w:spacing w:before="100" w:beforeAutospacing="1" w:after="100" w:afterAutospacing="1" w:line="360" w:lineRule="auto"/>
              <w:contextualSpacing/>
              <w:jc w:val="both"/>
              <w:rPr>
                <w:rFonts w:ascii="Arial Narrow" w:eastAsia="Times New Roman" w:hAnsi="Arial Narrow" w:cs="Calibri"/>
                <w:sz w:val="24"/>
                <w:szCs w:val="24"/>
                <w:lang w:val="es-MX" w:eastAsia="es-ES_tradnl"/>
              </w:rPr>
            </w:pPr>
            <w:r w:rsidRPr="00CD728B">
              <w:rPr>
                <w:rFonts w:ascii="Arial Narrow" w:eastAsia="Times New Roman" w:hAnsi="Arial Narrow" w:cs="Calibri"/>
                <w:sz w:val="24"/>
                <w:szCs w:val="24"/>
                <w:lang w:val="es-MX" w:eastAsia="es-ES_tradnl"/>
              </w:rPr>
              <w:t>97.11</w:t>
            </w:r>
          </w:p>
        </w:tc>
        <w:tc>
          <w:tcPr>
            <w:tcW w:w="1064" w:type="dxa"/>
            <w:shd w:val="clear" w:color="000000" w:fill="FFFFFF"/>
            <w:noWrap/>
            <w:vAlign w:val="center"/>
            <w:hideMark/>
          </w:tcPr>
          <w:p w:rsidR="00940CBA" w:rsidRPr="00CD728B" w:rsidRDefault="00940CBA" w:rsidP="002E7D47">
            <w:pPr>
              <w:spacing w:before="100" w:beforeAutospacing="1" w:after="100" w:afterAutospacing="1" w:line="360" w:lineRule="auto"/>
              <w:contextualSpacing/>
              <w:jc w:val="both"/>
              <w:rPr>
                <w:rFonts w:ascii="Arial Narrow" w:eastAsia="Times New Roman" w:hAnsi="Arial Narrow" w:cs="Calibri"/>
                <w:sz w:val="24"/>
                <w:szCs w:val="24"/>
                <w:lang w:val="es-MX" w:eastAsia="es-ES_tradnl"/>
              </w:rPr>
            </w:pPr>
            <w:r w:rsidRPr="00CD728B">
              <w:rPr>
                <w:rFonts w:ascii="Arial Narrow" w:eastAsia="Times New Roman" w:hAnsi="Arial Narrow" w:cs="Calibri"/>
                <w:sz w:val="24"/>
                <w:szCs w:val="24"/>
                <w:lang w:val="es-MX" w:eastAsia="es-ES_tradnl"/>
              </w:rPr>
              <w:t>97.32</w:t>
            </w:r>
          </w:p>
        </w:tc>
        <w:tc>
          <w:tcPr>
            <w:tcW w:w="1181" w:type="dxa"/>
            <w:shd w:val="clear" w:color="000000" w:fill="FFFFFF"/>
            <w:noWrap/>
            <w:vAlign w:val="center"/>
            <w:hideMark/>
          </w:tcPr>
          <w:p w:rsidR="00940CBA" w:rsidRPr="00CD728B" w:rsidRDefault="00940CBA" w:rsidP="002E7D47">
            <w:pPr>
              <w:spacing w:before="100" w:beforeAutospacing="1" w:after="100" w:afterAutospacing="1" w:line="360" w:lineRule="auto"/>
              <w:contextualSpacing/>
              <w:jc w:val="both"/>
              <w:rPr>
                <w:rFonts w:ascii="Arial Narrow" w:eastAsia="Times New Roman" w:hAnsi="Arial Narrow" w:cs="Calibri"/>
                <w:sz w:val="24"/>
                <w:szCs w:val="24"/>
                <w:lang w:val="es-MX" w:eastAsia="es-ES_tradnl"/>
              </w:rPr>
            </w:pPr>
            <w:r w:rsidRPr="00CD728B">
              <w:rPr>
                <w:rFonts w:ascii="Arial Narrow" w:eastAsia="Times New Roman" w:hAnsi="Arial Narrow" w:cs="Calibri"/>
                <w:sz w:val="24"/>
                <w:szCs w:val="24"/>
                <w:lang w:val="es-MX" w:eastAsia="es-ES_tradnl"/>
              </w:rPr>
              <w:t>96.90</w:t>
            </w:r>
          </w:p>
        </w:tc>
      </w:tr>
      <w:tr w:rsidR="00940CBA" w:rsidRPr="00CD728B" w:rsidTr="006C722A">
        <w:trPr>
          <w:trHeight w:val="300"/>
        </w:trPr>
        <w:tc>
          <w:tcPr>
            <w:tcW w:w="5740" w:type="dxa"/>
            <w:shd w:val="clear" w:color="000000" w:fill="FFFFFF"/>
            <w:noWrap/>
            <w:vAlign w:val="center"/>
            <w:hideMark/>
          </w:tcPr>
          <w:p w:rsidR="00940CBA" w:rsidRPr="00CD728B" w:rsidRDefault="00940CBA" w:rsidP="002E7D47">
            <w:pPr>
              <w:spacing w:before="100" w:beforeAutospacing="1" w:after="100" w:afterAutospacing="1" w:line="360" w:lineRule="auto"/>
              <w:contextualSpacing/>
              <w:jc w:val="both"/>
              <w:rPr>
                <w:rFonts w:ascii="Arial Narrow" w:eastAsia="Times New Roman" w:hAnsi="Arial Narrow" w:cs="Calibri"/>
                <w:sz w:val="24"/>
                <w:szCs w:val="24"/>
                <w:lang w:val="es-MX" w:eastAsia="es-ES_tradnl"/>
              </w:rPr>
            </w:pPr>
            <w:r w:rsidRPr="00CD728B">
              <w:rPr>
                <w:rFonts w:ascii="Arial Narrow" w:eastAsia="Times New Roman" w:hAnsi="Arial Narrow" w:cs="Calibri"/>
                <w:sz w:val="24"/>
                <w:szCs w:val="24"/>
                <w:lang w:val="es-MX" w:eastAsia="es-ES_tradnl"/>
              </w:rPr>
              <w:t>Consejería Jurídica y de Servicios Legales</w:t>
            </w:r>
          </w:p>
        </w:tc>
        <w:tc>
          <w:tcPr>
            <w:tcW w:w="993" w:type="dxa"/>
            <w:shd w:val="clear" w:color="auto" w:fill="C9C9C9" w:themeFill="accent3" w:themeFillTint="99"/>
            <w:noWrap/>
            <w:vAlign w:val="center"/>
            <w:hideMark/>
          </w:tcPr>
          <w:p w:rsidR="00940CBA" w:rsidRPr="00CD728B" w:rsidRDefault="00940CBA" w:rsidP="002E7D47">
            <w:pPr>
              <w:spacing w:before="100" w:beforeAutospacing="1" w:after="100" w:afterAutospacing="1" w:line="360" w:lineRule="auto"/>
              <w:contextualSpacing/>
              <w:jc w:val="both"/>
              <w:rPr>
                <w:rFonts w:ascii="Arial Narrow" w:eastAsia="Times New Roman" w:hAnsi="Arial Narrow" w:cs="Calibri"/>
                <w:sz w:val="24"/>
                <w:szCs w:val="24"/>
                <w:lang w:val="es-MX" w:eastAsia="es-ES_tradnl"/>
              </w:rPr>
            </w:pPr>
            <w:r w:rsidRPr="00CD728B">
              <w:rPr>
                <w:rFonts w:ascii="Arial Narrow" w:eastAsia="Times New Roman" w:hAnsi="Arial Narrow" w:cs="Calibri"/>
                <w:sz w:val="24"/>
                <w:szCs w:val="24"/>
                <w:lang w:val="es-MX" w:eastAsia="es-ES_tradnl"/>
              </w:rPr>
              <w:t>95.96</w:t>
            </w:r>
          </w:p>
        </w:tc>
        <w:tc>
          <w:tcPr>
            <w:tcW w:w="1064" w:type="dxa"/>
            <w:shd w:val="clear" w:color="000000" w:fill="FFFFFF"/>
            <w:noWrap/>
            <w:vAlign w:val="center"/>
            <w:hideMark/>
          </w:tcPr>
          <w:p w:rsidR="00940CBA" w:rsidRPr="00CD728B" w:rsidRDefault="00940CBA" w:rsidP="002E7D47">
            <w:pPr>
              <w:spacing w:before="100" w:beforeAutospacing="1" w:after="100" w:afterAutospacing="1" w:line="360" w:lineRule="auto"/>
              <w:contextualSpacing/>
              <w:jc w:val="both"/>
              <w:rPr>
                <w:rFonts w:ascii="Arial Narrow" w:eastAsia="Times New Roman" w:hAnsi="Arial Narrow" w:cs="Calibri"/>
                <w:sz w:val="24"/>
                <w:szCs w:val="24"/>
                <w:lang w:val="es-MX" w:eastAsia="es-ES_tradnl"/>
              </w:rPr>
            </w:pPr>
            <w:r w:rsidRPr="00CD728B">
              <w:rPr>
                <w:rFonts w:ascii="Arial Narrow" w:eastAsia="Times New Roman" w:hAnsi="Arial Narrow" w:cs="Calibri"/>
                <w:sz w:val="24"/>
                <w:szCs w:val="24"/>
                <w:lang w:val="es-MX" w:eastAsia="es-ES_tradnl"/>
              </w:rPr>
              <w:t>97.37</w:t>
            </w:r>
          </w:p>
        </w:tc>
        <w:tc>
          <w:tcPr>
            <w:tcW w:w="1181" w:type="dxa"/>
            <w:shd w:val="clear" w:color="000000" w:fill="FFFFFF"/>
            <w:noWrap/>
            <w:vAlign w:val="center"/>
            <w:hideMark/>
          </w:tcPr>
          <w:p w:rsidR="00940CBA" w:rsidRPr="00CD728B" w:rsidRDefault="00940CBA" w:rsidP="002E7D47">
            <w:pPr>
              <w:spacing w:before="100" w:beforeAutospacing="1" w:after="100" w:afterAutospacing="1" w:line="360" w:lineRule="auto"/>
              <w:contextualSpacing/>
              <w:jc w:val="both"/>
              <w:rPr>
                <w:rFonts w:ascii="Arial Narrow" w:eastAsia="Times New Roman" w:hAnsi="Arial Narrow" w:cs="Calibri"/>
                <w:sz w:val="24"/>
                <w:szCs w:val="24"/>
                <w:lang w:val="es-MX" w:eastAsia="es-ES_tradnl"/>
              </w:rPr>
            </w:pPr>
            <w:r w:rsidRPr="00CD728B">
              <w:rPr>
                <w:rFonts w:ascii="Arial Narrow" w:eastAsia="Times New Roman" w:hAnsi="Arial Narrow" w:cs="Calibri"/>
                <w:sz w:val="24"/>
                <w:szCs w:val="24"/>
                <w:lang w:val="es-MX" w:eastAsia="es-ES_tradnl"/>
              </w:rPr>
              <w:t>94.55</w:t>
            </w:r>
          </w:p>
        </w:tc>
      </w:tr>
      <w:tr w:rsidR="00940CBA" w:rsidRPr="00CD728B" w:rsidTr="006C722A">
        <w:trPr>
          <w:trHeight w:val="300"/>
        </w:trPr>
        <w:tc>
          <w:tcPr>
            <w:tcW w:w="5740" w:type="dxa"/>
            <w:shd w:val="clear" w:color="000000" w:fill="FFFFFF"/>
            <w:noWrap/>
            <w:vAlign w:val="center"/>
            <w:hideMark/>
          </w:tcPr>
          <w:p w:rsidR="00940CBA" w:rsidRPr="00CD728B" w:rsidRDefault="00940CBA" w:rsidP="002E7D47">
            <w:pPr>
              <w:spacing w:before="100" w:beforeAutospacing="1" w:after="100" w:afterAutospacing="1" w:line="360" w:lineRule="auto"/>
              <w:contextualSpacing/>
              <w:jc w:val="both"/>
              <w:rPr>
                <w:rFonts w:ascii="Arial Narrow" w:eastAsia="Times New Roman" w:hAnsi="Arial Narrow" w:cs="Calibri"/>
                <w:sz w:val="24"/>
                <w:szCs w:val="24"/>
                <w:lang w:val="es-MX" w:eastAsia="es-ES_tradnl"/>
              </w:rPr>
            </w:pPr>
            <w:r w:rsidRPr="00CD728B">
              <w:rPr>
                <w:rFonts w:ascii="Arial Narrow" w:eastAsia="Times New Roman" w:hAnsi="Arial Narrow" w:cs="Calibri"/>
                <w:sz w:val="24"/>
                <w:szCs w:val="24"/>
                <w:lang w:val="es-MX" w:eastAsia="es-ES_tradnl"/>
              </w:rPr>
              <w:t>Secretaría de Educación</w:t>
            </w:r>
          </w:p>
        </w:tc>
        <w:tc>
          <w:tcPr>
            <w:tcW w:w="993" w:type="dxa"/>
            <w:shd w:val="clear" w:color="auto" w:fill="C9C9C9" w:themeFill="accent3" w:themeFillTint="99"/>
            <w:noWrap/>
            <w:vAlign w:val="center"/>
            <w:hideMark/>
          </w:tcPr>
          <w:p w:rsidR="00940CBA" w:rsidRPr="00CD728B" w:rsidRDefault="00940CBA" w:rsidP="002E7D47">
            <w:pPr>
              <w:spacing w:before="100" w:beforeAutospacing="1" w:after="100" w:afterAutospacing="1" w:line="360" w:lineRule="auto"/>
              <w:contextualSpacing/>
              <w:jc w:val="both"/>
              <w:rPr>
                <w:rFonts w:ascii="Arial Narrow" w:eastAsia="Times New Roman" w:hAnsi="Arial Narrow" w:cs="Calibri"/>
                <w:sz w:val="24"/>
                <w:szCs w:val="24"/>
                <w:lang w:val="es-MX" w:eastAsia="es-ES_tradnl"/>
              </w:rPr>
            </w:pPr>
            <w:r w:rsidRPr="00CD728B">
              <w:rPr>
                <w:rFonts w:ascii="Arial Narrow" w:eastAsia="Times New Roman" w:hAnsi="Arial Narrow" w:cs="Calibri"/>
                <w:sz w:val="24"/>
                <w:szCs w:val="24"/>
                <w:lang w:val="es-MX" w:eastAsia="es-ES_tradnl"/>
              </w:rPr>
              <w:t>94.79</w:t>
            </w:r>
          </w:p>
        </w:tc>
        <w:tc>
          <w:tcPr>
            <w:tcW w:w="1064" w:type="dxa"/>
            <w:shd w:val="clear" w:color="000000" w:fill="FFFFFF"/>
            <w:noWrap/>
            <w:vAlign w:val="center"/>
            <w:hideMark/>
          </w:tcPr>
          <w:p w:rsidR="00940CBA" w:rsidRPr="00CD728B" w:rsidRDefault="00940CBA" w:rsidP="002E7D47">
            <w:pPr>
              <w:spacing w:before="100" w:beforeAutospacing="1" w:after="100" w:afterAutospacing="1" w:line="360" w:lineRule="auto"/>
              <w:contextualSpacing/>
              <w:jc w:val="both"/>
              <w:rPr>
                <w:rFonts w:ascii="Arial Narrow" w:eastAsia="Times New Roman" w:hAnsi="Arial Narrow" w:cs="Calibri"/>
                <w:sz w:val="24"/>
                <w:szCs w:val="24"/>
                <w:lang w:val="es-MX" w:eastAsia="es-ES_tradnl"/>
              </w:rPr>
            </w:pPr>
            <w:r w:rsidRPr="00CD728B">
              <w:rPr>
                <w:rFonts w:ascii="Arial Narrow" w:eastAsia="Times New Roman" w:hAnsi="Arial Narrow" w:cs="Calibri"/>
                <w:sz w:val="24"/>
                <w:szCs w:val="24"/>
                <w:lang w:val="es-MX" w:eastAsia="es-ES_tradnl"/>
              </w:rPr>
              <w:t>91.78</w:t>
            </w:r>
          </w:p>
        </w:tc>
        <w:tc>
          <w:tcPr>
            <w:tcW w:w="1181" w:type="dxa"/>
            <w:shd w:val="clear" w:color="000000" w:fill="FFFFFF"/>
            <w:noWrap/>
            <w:vAlign w:val="center"/>
            <w:hideMark/>
          </w:tcPr>
          <w:p w:rsidR="00940CBA" w:rsidRPr="00CD728B" w:rsidRDefault="00940CBA" w:rsidP="002E7D47">
            <w:pPr>
              <w:spacing w:before="100" w:beforeAutospacing="1" w:after="100" w:afterAutospacing="1" w:line="360" w:lineRule="auto"/>
              <w:contextualSpacing/>
              <w:jc w:val="both"/>
              <w:rPr>
                <w:rFonts w:ascii="Arial Narrow" w:eastAsia="Times New Roman" w:hAnsi="Arial Narrow" w:cs="Calibri"/>
                <w:sz w:val="24"/>
                <w:szCs w:val="24"/>
                <w:lang w:val="es-MX" w:eastAsia="es-ES_tradnl"/>
              </w:rPr>
            </w:pPr>
            <w:r w:rsidRPr="00CD728B">
              <w:rPr>
                <w:rFonts w:ascii="Arial Narrow" w:eastAsia="Times New Roman" w:hAnsi="Arial Narrow" w:cs="Calibri"/>
                <w:sz w:val="24"/>
                <w:szCs w:val="24"/>
                <w:lang w:val="es-MX" w:eastAsia="es-ES_tradnl"/>
              </w:rPr>
              <w:t>97.80</w:t>
            </w:r>
          </w:p>
        </w:tc>
      </w:tr>
      <w:tr w:rsidR="00940CBA" w:rsidRPr="00CD728B" w:rsidTr="006C722A">
        <w:trPr>
          <w:trHeight w:val="300"/>
        </w:trPr>
        <w:tc>
          <w:tcPr>
            <w:tcW w:w="5740" w:type="dxa"/>
            <w:shd w:val="clear" w:color="000000" w:fill="FFFFFF"/>
            <w:noWrap/>
            <w:vAlign w:val="center"/>
            <w:hideMark/>
          </w:tcPr>
          <w:p w:rsidR="00940CBA" w:rsidRPr="00CD728B" w:rsidRDefault="00940CBA" w:rsidP="002E7D47">
            <w:pPr>
              <w:spacing w:before="100" w:beforeAutospacing="1" w:after="100" w:afterAutospacing="1" w:line="360" w:lineRule="auto"/>
              <w:contextualSpacing/>
              <w:jc w:val="both"/>
              <w:rPr>
                <w:rFonts w:ascii="Arial Narrow" w:eastAsia="Times New Roman" w:hAnsi="Arial Narrow" w:cs="Calibri"/>
                <w:sz w:val="24"/>
                <w:szCs w:val="24"/>
                <w:lang w:val="es-MX" w:eastAsia="es-ES_tradnl"/>
              </w:rPr>
            </w:pPr>
            <w:r w:rsidRPr="00CD728B">
              <w:rPr>
                <w:rFonts w:ascii="Arial Narrow" w:eastAsia="Times New Roman" w:hAnsi="Arial Narrow" w:cs="Calibri"/>
                <w:sz w:val="24"/>
                <w:szCs w:val="24"/>
                <w:lang w:val="es-MX" w:eastAsia="es-ES_tradnl"/>
              </w:rPr>
              <w:t>Secretaría de Movilidad</w:t>
            </w:r>
          </w:p>
        </w:tc>
        <w:tc>
          <w:tcPr>
            <w:tcW w:w="993" w:type="dxa"/>
            <w:shd w:val="clear" w:color="auto" w:fill="C9C9C9" w:themeFill="accent3" w:themeFillTint="99"/>
            <w:noWrap/>
            <w:vAlign w:val="center"/>
            <w:hideMark/>
          </w:tcPr>
          <w:p w:rsidR="00940CBA" w:rsidRPr="00CD728B" w:rsidRDefault="00940CBA" w:rsidP="002E7D47">
            <w:pPr>
              <w:spacing w:before="100" w:beforeAutospacing="1" w:after="100" w:afterAutospacing="1" w:line="360" w:lineRule="auto"/>
              <w:contextualSpacing/>
              <w:jc w:val="both"/>
              <w:rPr>
                <w:rFonts w:ascii="Arial Narrow" w:eastAsia="Times New Roman" w:hAnsi="Arial Narrow" w:cs="Calibri"/>
                <w:sz w:val="24"/>
                <w:szCs w:val="24"/>
                <w:lang w:val="es-MX" w:eastAsia="es-ES_tradnl"/>
              </w:rPr>
            </w:pPr>
            <w:r w:rsidRPr="00CD728B">
              <w:rPr>
                <w:rFonts w:ascii="Arial Narrow" w:eastAsia="Times New Roman" w:hAnsi="Arial Narrow" w:cs="Calibri"/>
                <w:sz w:val="24"/>
                <w:szCs w:val="24"/>
                <w:lang w:val="es-MX" w:eastAsia="es-ES_tradnl"/>
              </w:rPr>
              <w:t>94.57</w:t>
            </w:r>
          </w:p>
        </w:tc>
        <w:tc>
          <w:tcPr>
            <w:tcW w:w="1064" w:type="dxa"/>
            <w:shd w:val="clear" w:color="000000" w:fill="FFFFFF"/>
            <w:noWrap/>
            <w:vAlign w:val="center"/>
            <w:hideMark/>
          </w:tcPr>
          <w:p w:rsidR="00940CBA" w:rsidRPr="00CD728B" w:rsidRDefault="00940CBA" w:rsidP="002E7D47">
            <w:pPr>
              <w:spacing w:before="100" w:beforeAutospacing="1" w:after="100" w:afterAutospacing="1" w:line="360" w:lineRule="auto"/>
              <w:contextualSpacing/>
              <w:jc w:val="both"/>
              <w:rPr>
                <w:rFonts w:ascii="Arial Narrow" w:eastAsia="Times New Roman" w:hAnsi="Arial Narrow" w:cs="Calibri"/>
                <w:sz w:val="24"/>
                <w:szCs w:val="24"/>
                <w:lang w:val="es-MX" w:eastAsia="es-ES_tradnl"/>
              </w:rPr>
            </w:pPr>
            <w:r w:rsidRPr="00CD728B">
              <w:rPr>
                <w:rFonts w:ascii="Arial Narrow" w:eastAsia="Times New Roman" w:hAnsi="Arial Narrow" w:cs="Calibri"/>
                <w:sz w:val="24"/>
                <w:szCs w:val="24"/>
                <w:lang w:val="es-MX" w:eastAsia="es-ES_tradnl"/>
              </w:rPr>
              <w:t>89.98</w:t>
            </w:r>
          </w:p>
        </w:tc>
        <w:tc>
          <w:tcPr>
            <w:tcW w:w="1181" w:type="dxa"/>
            <w:shd w:val="clear" w:color="000000" w:fill="FFFFFF"/>
            <w:noWrap/>
            <w:vAlign w:val="center"/>
            <w:hideMark/>
          </w:tcPr>
          <w:p w:rsidR="00940CBA" w:rsidRPr="00CD728B" w:rsidRDefault="00940CBA" w:rsidP="002E7D47">
            <w:pPr>
              <w:spacing w:before="100" w:beforeAutospacing="1" w:after="100" w:afterAutospacing="1" w:line="360" w:lineRule="auto"/>
              <w:contextualSpacing/>
              <w:jc w:val="both"/>
              <w:rPr>
                <w:rFonts w:ascii="Arial Narrow" w:eastAsia="Times New Roman" w:hAnsi="Arial Narrow" w:cs="Calibri"/>
                <w:sz w:val="24"/>
                <w:szCs w:val="24"/>
                <w:lang w:val="es-MX" w:eastAsia="es-ES_tradnl"/>
              </w:rPr>
            </w:pPr>
            <w:r w:rsidRPr="00CD728B">
              <w:rPr>
                <w:rFonts w:ascii="Arial Narrow" w:eastAsia="Times New Roman" w:hAnsi="Arial Narrow" w:cs="Calibri"/>
                <w:sz w:val="24"/>
                <w:szCs w:val="24"/>
                <w:lang w:val="es-MX" w:eastAsia="es-ES_tradnl"/>
              </w:rPr>
              <w:t>99.16</w:t>
            </w:r>
          </w:p>
        </w:tc>
      </w:tr>
      <w:tr w:rsidR="00940CBA" w:rsidRPr="00CD728B" w:rsidTr="006C722A">
        <w:trPr>
          <w:trHeight w:val="300"/>
        </w:trPr>
        <w:tc>
          <w:tcPr>
            <w:tcW w:w="5740" w:type="dxa"/>
            <w:shd w:val="clear" w:color="000000" w:fill="FFFFFF"/>
            <w:noWrap/>
            <w:vAlign w:val="center"/>
            <w:hideMark/>
          </w:tcPr>
          <w:p w:rsidR="00940CBA" w:rsidRPr="00CD728B" w:rsidRDefault="00940CBA" w:rsidP="002E7D47">
            <w:pPr>
              <w:spacing w:before="100" w:beforeAutospacing="1" w:after="100" w:afterAutospacing="1" w:line="360" w:lineRule="auto"/>
              <w:contextualSpacing/>
              <w:jc w:val="both"/>
              <w:rPr>
                <w:rFonts w:ascii="Arial Narrow" w:eastAsia="Times New Roman" w:hAnsi="Arial Narrow" w:cs="Calibri"/>
                <w:sz w:val="24"/>
                <w:szCs w:val="24"/>
                <w:lang w:val="es-MX" w:eastAsia="es-ES_tradnl"/>
              </w:rPr>
            </w:pPr>
            <w:r w:rsidRPr="00CD728B">
              <w:rPr>
                <w:rFonts w:ascii="Arial Narrow" w:eastAsia="Times New Roman" w:hAnsi="Arial Narrow" w:cs="Calibri"/>
                <w:sz w:val="24"/>
                <w:szCs w:val="24"/>
                <w:lang w:val="es-MX" w:eastAsia="es-ES_tradnl"/>
              </w:rPr>
              <w:t>Secretaría de Salud</w:t>
            </w:r>
          </w:p>
        </w:tc>
        <w:tc>
          <w:tcPr>
            <w:tcW w:w="993" w:type="dxa"/>
            <w:shd w:val="clear" w:color="auto" w:fill="C9C9C9" w:themeFill="accent3" w:themeFillTint="99"/>
            <w:noWrap/>
            <w:vAlign w:val="center"/>
            <w:hideMark/>
          </w:tcPr>
          <w:p w:rsidR="00940CBA" w:rsidRPr="00CD728B" w:rsidRDefault="00940CBA" w:rsidP="002E7D47">
            <w:pPr>
              <w:spacing w:before="100" w:beforeAutospacing="1" w:after="100" w:afterAutospacing="1" w:line="360" w:lineRule="auto"/>
              <w:contextualSpacing/>
              <w:jc w:val="both"/>
              <w:rPr>
                <w:rFonts w:ascii="Arial Narrow" w:eastAsia="Times New Roman" w:hAnsi="Arial Narrow" w:cs="Calibri"/>
                <w:sz w:val="24"/>
                <w:szCs w:val="24"/>
                <w:lang w:val="es-MX" w:eastAsia="es-ES_tradnl"/>
              </w:rPr>
            </w:pPr>
            <w:r w:rsidRPr="00CD728B">
              <w:rPr>
                <w:rFonts w:ascii="Arial Narrow" w:eastAsia="Times New Roman" w:hAnsi="Arial Narrow" w:cs="Calibri"/>
                <w:sz w:val="24"/>
                <w:szCs w:val="24"/>
                <w:lang w:val="es-MX" w:eastAsia="es-ES_tradnl"/>
              </w:rPr>
              <w:t>93.58</w:t>
            </w:r>
          </w:p>
        </w:tc>
        <w:tc>
          <w:tcPr>
            <w:tcW w:w="1064" w:type="dxa"/>
            <w:shd w:val="clear" w:color="000000" w:fill="FFFFFF"/>
            <w:noWrap/>
            <w:vAlign w:val="center"/>
            <w:hideMark/>
          </w:tcPr>
          <w:p w:rsidR="00940CBA" w:rsidRPr="00CD728B" w:rsidRDefault="00940CBA" w:rsidP="002E7D47">
            <w:pPr>
              <w:spacing w:before="100" w:beforeAutospacing="1" w:after="100" w:afterAutospacing="1" w:line="360" w:lineRule="auto"/>
              <w:contextualSpacing/>
              <w:jc w:val="both"/>
              <w:rPr>
                <w:rFonts w:ascii="Arial Narrow" w:eastAsia="Times New Roman" w:hAnsi="Arial Narrow" w:cs="Calibri"/>
                <w:sz w:val="24"/>
                <w:szCs w:val="24"/>
                <w:lang w:val="es-MX" w:eastAsia="es-ES_tradnl"/>
              </w:rPr>
            </w:pPr>
            <w:r w:rsidRPr="00CD728B">
              <w:rPr>
                <w:rFonts w:ascii="Arial Narrow" w:eastAsia="Times New Roman" w:hAnsi="Arial Narrow" w:cs="Calibri"/>
                <w:sz w:val="24"/>
                <w:szCs w:val="24"/>
                <w:lang w:val="es-MX" w:eastAsia="es-ES_tradnl"/>
              </w:rPr>
              <w:t>96.48</w:t>
            </w:r>
          </w:p>
        </w:tc>
        <w:tc>
          <w:tcPr>
            <w:tcW w:w="1181" w:type="dxa"/>
            <w:shd w:val="clear" w:color="000000" w:fill="FFFFFF"/>
            <w:noWrap/>
            <w:vAlign w:val="center"/>
            <w:hideMark/>
          </w:tcPr>
          <w:p w:rsidR="00940CBA" w:rsidRPr="00CD728B" w:rsidRDefault="00940CBA" w:rsidP="002E7D47">
            <w:pPr>
              <w:spacing w:before="100" w:beforeAutospacing="1" w:after="100" w:afterAutospacing="1" w:line="360" w:lineRule="auto"/>
              <w:contextualSpacing/>
              <w:jc w:val="both"/>
              <w:rPr>
                <w:rFonts w:ascii="Arial Narrow" w:eastAsia="Times New Roman" w:hAnsi="Arial Narrow" w:cs="Calibri"/>
                <w:sz w:val="24"/>
                <w:szCs w:val="24"/>
                <w:lang w:val="es-MX" w:eastAsia="es-ES_tradnl"/>
              </w:rPr>
            </w:pPr>
            <w:r w:rsidRPr="00CD728B">
              <w:rPr>
                <w:rFonts w:ascii="Arial Narrow" w:eastAsia="Times New Roman" w:hAnsi="Arial Narrow" w:cs="Calibri"/>
                <w:sz w:val="24"/>
                <w:szCs w:val="24"/>
                <w:lang w:val="es-MX" w:eastAsia="es-ES_tradnl"/>
              </w:rPr>
              <w:t>90.69</w:t>
            </w:r>
          </w:p>
        </w:tc>
      </w:tr>
      <w:tr w:rsidR="00940CBA" w:rsidRPr="00CD728B" w:rsidTr="006C722A">
        <w:trPr>
          <w:trHeight w:val="300"/>
        </w:trPr>
        <w:tc>
          <w:tcPr>
            <w:tcW w:w="5740" w:type="dxa"/>
            <w:shd w:val="clear" w:color="000000" w:fill="FFFFFF"/>
            <w:noWrap/>
            <w:vAlign w:val="center"/>
            <w:hideMark/>
          </w:tcPr>
          <w:p w:rsidR="00940CBA" w:rsidRPr="00CD728B" w:rsidRDefault="00940CBA" w:rsidP="002E7D47">
            <w:pPr>
              <w:spacing w:before="100" w:beforeAutospacing="1" w:after="100" w:afterAutospacing="1" w:line="360" w:lineRule="auto"/>
              <w:contextualSpacing/>
              <w:jc w:val="both"/>
              <w:rPr>
                <w:rFonts w:ascii="Arial Narrow" w:eastAsia="Times New Roman" w:hAnsi="Arial Narrow" w:cs="Calibri"/>
                <w:sz w:val="24"/>
                <w:szCs w:val="24"/>
                <w:lang w:val="es-MX" w:eastAsia="es-ES_tradnl"/>
              </w:rPr>
            </w:pPr>
            <w:r w:rsidRPr="00CD728B">
              <w:rPr>
                <w:rFonts w:ascii="Arial Narrow" w:eastAsia="Times New Roman" w:hAnsi="Arial Narrow" w:cs="Calibri"/>
                <w:sz w:val="24"/>
                <w:szCs w:val="24"/>
                <w:lang w:val="es-MX" w:eastAsia="es-ES_tradnl"/>
              </w:rPr>
              <w:t>Jefatura de Gobierno del Distrito Federal</w:t>
            </w:r>
          </w:p>
        </w:tc>
        <w:tc>
          <w:tcPr>
            <w:tcW w:w="993" w:type="dxa"/>
            <w:shd w:val="clear" w:color="auto" w:fill="C9C9C9" w:themeFill="accent3" w:themeFillTint="99"/>
            <w:noWrap/>
            <w:vAlign w:val="center"/>
            <w:hideMark/>
          </w:tcPr>
          <w:p w:rsidR="00940CBA" w:rsidRPr="00CD728B" w:rsidRDefault="00940CBA" w:rsidP="002E7D47">
            <w:pPr>
              <w:spacing w:before="100" w:beforeAutospacing="1" w:after="100" w:afterAutospacing="1" w:line="360" w:lineRule="auto"/>
              <w:contextualSpacing/>
              <w:jc w:val="both"/>
              <w:rPr>
                <w:rFonts w:ascii="Arial Narrow" w:eastAsia="Times New Roman" w:hAnsi="Arial Narrow" w:cs="Calibri"/>
                <w:sz w:val="24"/>
                <w:szCs w:val="24"/>
                <w:lang w:val="es-MX" w:eastAsia="es-ES_tradnl"/>
              </w:rPr>
            </w:pPr>
            <w:r w:rsidRPr="00CD728B">
              <w:rPr>
                <w:rFonts w:ascii="Arial Narrow" w:eastAsia="Times New Roman" w:hAnsi="Arial Narrow" w:cs="Calibri"/>
                <w:sz w:val="24"/>
                <w:szCs w:val="24"/>
                <w:lang w:val="es-MX" w:eastAsia="es-ES_tradnl"/>
              </w:rPr>
              <w:t>93.20</w:t>
            </w:r>
          </w:p>
        </w:tc>
        <w:tc>
          <w:tcPr>
            <w:tcW w:w="1064" w:type="dxa"/>
            <w:shd w:val="clear" w:color="000000" w:fill="FFFFFF"/>
            <w:noWrap/>
            <w:vAlign w:val="center"/>
            <w:hideMark/>
          </w:tcPr>
          <w:p w:rsidR="00940CBA" w:rsidRPr="00CD728B" w:rsidRDefault="00940CBA" w:rsidP="002E7D47">
            <w:pPr>
              <w:spacing w:before="100" w:beforeAutospacing="1" w:after="100" w:afterAutospacing="1" w:line="360" w:lineRule="auto"/>
              <w:contextualSpacing/>
              <w:jc w:val="both"/>
              <w:rPr>
                <w:rFonts w:ascii="Arial Narrow" w:eastAsia="Times New Roman" w:hAnsi="Arial Narrow" w:cs="Calibri"/>
                <w:sz w:val="24"/>
                <w:szCs w:val="24"/>
                <w:lang w:val="es-MX" w:eastAsia="es-ES_tradnl"/>
              </w:rPr>
            </w:pPr>
            <w:r w:rsidRPr="00CD728B">
              <w:rPr>
                <w:rFonts w:ascii="Arial Narrow" w:eastAsia="Times New Roman" w:hAnsi="Arial Narrow" w:cs="Calibri"/>
                <w:sz w:val="24"/>
                <w:szCs w:val="24"/>
                <w:lang w:val="es-MX" w:eastAsia="es-ES_tradnl"/>
              </w:rPr>
              <w:t>91.90</w:t>
            </w:r>
          </w:p>
        </w:tc>
        <w:tc>
          <w:tcPr>
            <w:tcW w:w="1181" w:type="dxa"/>
            <w:shd w:val="clear" w:color="000000" w:fill="FFFFFF"/>
            <w:noWrap/>
            <w:vAlign w:val="center"/>
            <w:hideMark/>
          </w:tcPr>
          <w:p w:rsidR="00940CBA" w:rsidRPr="00CD728B" w:rsidRDefault="00940CBA" w:rsidP="002E7D47">
            <w:pPr>
              <w:spacing w:before="100" w:beforeAutospacing="1" w:after="100" w:afterAutospacing="1" w:line="360" w:lineRule="auto"/>
              <w:contextualSpacing/>
              <w:jc w:val="both"/>
              <w:rPr>
                <w:rFonts w:ascii="Arial Narrow" w:eastAsia="Times New Roman" w:hAnsi="Arial Narrow" w:cs="Calibri"/>
                <w:sz w:val="24"/>
                <w:szCs w:val="24"/>
                <w:lang w:val="es-MX" w:eastAsia="es-ES_tradnl"/>
              </w:rPr>
            </w:pPr>
            <w:r w:rsidRPr="00CD728B">
              <w:rPr>
                <w:rFonts w:ascii="Arial Narrow" w:eastAsia="Times New Roman" w:hAnsi="Arial Narrow" w:cs="Calibri"/>
                <w:sz w:val="24"/>
                <w:szCs w:val="24"/>
                <w:lang w:val="es-MX" w:eastAsia="es-ES_tradnl"/>
              </w:rPr>
              <w:t>94.49</w:t>
            </w:r>
          </w:p>
        </w:tc>
      </w:tr>
      <w:tr w:rsidR="00940CBA" w:rsidRPr="00CD728B" w:rsidTr="006C722A">
        <w:trPr>
          <w:trHeight w:val="300"/>
        </w:trPr>
        <w:tc>
          <w:tcPr>
            <w:tcW w:w="5740" w:type="dxa"/>
            <w:shd w:val="clear" w:color="000000" w:fill="FFFFFF"/>
            <w:noWrap/>
            <w:vAlign w:val="center"/>
            <w:hideMark/>
          </w:tcPr>
          <w:p w:rsidR="00940CBA" w:rsidRPr="00CD728B" w:rsidRDefault="00940CBA" w:rsidP="002E7D47">
            <w:pPr>
              <w:spacing w:before="100" w:beforeAutospacing="1" w:after="100" w:afterAutospacing="1" w:line="360" w:lineRule="auto"/>
              <w:contextualSpacing/>
              <w:jc w:val="both"/>
              <w:rPr>
                <w:rFonts w:ascii="Arial Narrow" w:eastAsia="Times New Roman" w:hAnsi="Arial Narrow" w:cs="Calibri"/>
                <w:sz w:val="24"/>
                <w:szCs w:val="24"/>
                <w:lang w:val="es-MX" w:eastAsia="es-ES_tradnl"/>
              </w:rPr>
            </w:pPr>
            <w:r w:rsidRPr="00CD728B">
              <w:rPr>
                <w:rFonts w:ascii="Arial Narrow" w:eastAsia="Times New Roman" w:hAnsi="Arial Narrow" w:cs="Calibri"/>
                <w:sz w:val="24"/>
                <w:szCs w:val="24"/>
                <w:lang w:val="es-MX" w:eastAsia="es-ES_tradnl"/>
              </w:rPr>
              <w:lastRenderedPageBreak/>
              <w:t>Secretaría de Desarrollo Económico</w:t>
            </w:r>
          </w:p>
        </w:tc>
        <w:tc>
          <w:tcPr>
            <w:tcW w:w="993" w:type="dxa"/>
            <w:shd w:val="clear" w:color="auto" w:fill="C9C9C9" w:themeFill="accent3" w:themeFillTint="99"/>
            <w:noWrap/>
            <w:vAlign w:val="center"/>
            <w:hideMark/>
          </w:tcPr>
          <w:p w:rsidR="00940CBA" w:rsidRPr="00CD728B" w:rsidRDefault="00940CBA" w:rsidP="002E7D47">
            <w:pPr>
              <w:spacing w:before="100" w:beforeAutospacing="1" w:after="100" w:afterAutospacing="1" w:line="360" w:lineRule="auto"/>
              <w:contextualSpacing/>
              <w:jc w:val="both"/>
              <w:rPr>
                <w:rFonts w:ascii="Arial Narrow" w:eastAsia="Times New Roman" w:hAnsi="Arial Narrow" w:cs="Calibri"/>
                <w:sz w:val="24"/>
                <w:szCs w:val="24"/>
                <w:lang w:val="es-MX" w:eastAsia="es-ES_tradnl"/>
              </w:rPr>
            </w:pPr>
            <w:r w:rsidRPr="00CD728B">
              <w:rPr>
                <w:rFonts w:ascii="Arial Narrow" w:eastAsia="Times New Roman" w:hAnsi="Arial Narrow" w:cs="Calibri"/>
                <w:sz w:val="24"/>
                <w:szCs w:val="24"/>
                <w:lang w:val="es-MX" w:eastAsia="es-ES_tradnl"/>
              </w:rPr>
              <w:t>88.93</w:t>
            </w:r>
          </w:p>
        </w:tc>
        <w:tc>
          <w:tcPr>
            <w:tcW w:w="1064" w:type="dxa"/>
            <w:shd w:val="clear" w:color="000000" w:fill="FFFFFF"/>
            <w:noWrap/>
            <w:vAlign w:val="center"/>
            <w:hideMark/>
          </w:tcPr>
          <w:p w:rsidR="00940CBA" w:rsidRPr="00CD728B" w:rsidRDefault="00940CBA" w:rsidP="002E7D47">
            <w:pPr>
              <w:spacing w:before="100" w:beforeAutospacing="1" w:after="100" w:afterAutospacing="1" w:line="360" w:lineRule="auto"/>
              <w:contextualSpacing/>
              <w:jc w:val="both"/>
              <w:rPr>
                <w:rFonts w:ascii="Arial Narrow" w:eastAsia="Times New Roman" w:hAnsi="Arial Narrow" w:cs="Calibri"/>
                <w:sz w:val="24"/>
                <w:szCs w:val="24"/>
                <w:lang w:val="es-MX" w:eastAsia="es-ES_tradnl"/>
              </w:rPr>
            </w:pPr>
            <w:r w:rsidRPr="00CD728B">
              <w:rPr>
                <w:rFonts w:ascii="Arial Narrow" w:eastAsia="Times New Roman" w:hAnsi="Arial Narrow" w:cs="Calibri"/>
                <w:sz w:val="24"/>
                <w:szCs w:val="24"/>
                <w:lang w:val="es-MX" w:eastAsia="es-ES_tradnl"/>
              </w:rPr>
              <w:t>90.77</w:t>
            </w:r>
          </w:p>
        </w:tc>
        <w:tc>
          <w:tcPr>
            <w:tcW w:w="1181" w:type="dxa"/>
            <w:shd w:val="clear" w:color="000000" w:fill="FFFFFF"/>
            <w:noWrap/>
            <w:vAlign w:val="center"/>
            <w:hideMark/>
          </w:tcPr>
          <w:p w:rsidR="00940CBA" w:rsidRPr="00CD728B" w:rsidRDefault="00940CBA" w:rsidP="002E7D47">
            <w:pPr>
              <w:spacing w:before="100" w:beforeAutospacing="1" w:after="100" w:afterAutospacing="1" w:line="360" w:lineRule="auto"/>
              <w:contextualSpacing/>
              <w:jc w:val="both"/>
              <w:rPr>
                <w:rFonts w:ascii="Arial Narrow" w:eastAsia="Times New Roman" w:hAnsi="Arial Narrow" w:cs="Calibri"/>
                <w:sz w:val="24"/>
                <w:szCs w:val="24"/>
                <w:lang w:val="es-MX" w:eastAsia="es-ES_tradnl"/>
              </w:rPr>
            </w:pPr>
            <w:r w:rsidRPr="00CD728B">
              <w:rPr>
                <w:rFonts w:ascii="Arial Narrow" w:eastAsia="Times New Roman" w:hAnsi="Arial Narrow" w:cs="Calibri"/>
                <w:sz w:val="24"/>
                <w:szCs w:val="24"/>
                <w:lang w:val="es-MX" w:eastAsia="es-ES_tradnl"/>
              </w:rPr>
              <w:t>87.08</w:t>
            </w:r>
          </w:p>
        </w:tc>
      </w:tr>
      <w:tr w:rsidR="00940CBA" w:rsidRPr="00CD728B" w:rsidTr="006C722A">
        <w:trPr>
          <w:trHeight w:val="300"/>
        </w:trPr>
        <w:tc>
          <w:tcPr>
            <w:tcW w:w="5740" w:type="dxa"/>
            <w:shd w:val="clear" w:color="000000" w:fill="FFFFFF"/>
            <w:noWrap/>
            <w:vAlign w:val="center"/>
            <w:hideMark/>
          </w:tcPr>
          <w:p w:rsidR="00940CBA" w:rsidRPr="00CD728B" w:rsidRDefault="00940CBA" w:rsidP="002E7D47">
            <w:pPr>
              <w:spacing w:before="100" w:beforeAutospacing="1" w:after="100" w:afterAutospacing="1" w:line="360" w:lineRule="auto"/>
              <w:contextualSpacing/>
              <w:jc w:val="both"/>
              <w:rPr>
                <w:rFonts w:ascii="Arial Narrow" w:eastAsia="Times New Roman" w:hAnsi="Arial Narrow" w:cs="Calibri"/>
                <w:sz w:val="24"/>
                <w:szCs w:val="24"/>
                <w:lang w:val="es-MX" w:eastAsia="es-ES_tradnl"/>
              </w:rPr>
            </w:pPr>
            <w:r w:rsidRPr="00CD728B">
              <w:rPr>
                <w:rFonts w:ascii="Arial Narrow" w:eastAsia="Times New Roman" w:hAnsi="Arial Narrow" w:cs="Calibri"/>
                <w:sz w:val="24"/>
                <w:szCs w:val="24"/>
                <w:lang w:val="es-MX" w:eastAsia="es-ES_tradnl"/>
              </w:rPr>
              <w:t>Secretaría de Seguridad Pública</w:t>
            </w:r>
          </w:p>
        </w:tc>
        <w:tc>
          <w:tcPr>
            <w:tcW w:w="993" w:type="dxa"/>
            <w:shd w:val="clear" w:color="auto" w:fill="C9C9C9" w:themeFill="accent3" w:themeFillTint="99"/>
            <w:noWrap/>
            <w:vAlign w:val="center"/>
            <w:hideMark/>
          </w:tcPr>
          <w:p w:rsidR="00940CBA" w:rsidRPr="00CD728B" w:rsidRDefault="00940CBA" w:rsidP="002E7D47">
            <w:pPr>
              <w:spacing w:before="100" w:beforeAutospacing="1" w:after="100" w:afterAutospacing="1" w:line="360" w:lineRule="auto"/>
              <w:contextualSpacing/>
              <w:jc w:val="both"/>
              <w:rPr>
                <w:rFonts w:ascii="Arial Narrow" w:eastAsia="Times New Roman" w:hAnsi="Arial Narrow" w:cs="Calibri"/>
                <w:sz w:val="24"/>
                <w:szCs w:val="24"/>
                <w:lang w:val="es-MX" w:eastAsia="es-ES_tradnl"/>
              </w:rPr>
            </w:pPr>
            <w:r w:rsidRPr="00CD728B">
              <w:rPr>
                <w:rFonts w:ascii="Arial Narrow" w:eastAsia="Times New Roman" w:hAnsi="Arial Narrow" w:cs="Calibri"/>
                <w:sz w:val="24"/>
                <w:szCs w:val="24"/>
                <w:lang w:val="es-MX" w:eastAsia="es-ES_tradnl"/>
              </w:rPr>
              <w:t>87.06</w:t>
            </w:r>
          </w:p>
        </w:tc>
        <w:tc>
          <w:tcPr>
            <w:tcW w:w="1064" w:type="dxa"/>
            <w:shd w:val="clear" w:color="000000" w:fill="FFFFFF"/>
            <w:noWrap/>
            <w:vAlign w:val="center"/>
            <w:hideMark/>
          </w:tcPr>
          <w:p w:rsidR="00940CBA" w:rsidRPr="00CD728B" w:rsidRDefault="00940CBA" w:rsidP="002E7D47">
            <w:pPr>
              <w:spacing w:before="100" w:beforeAutospacing="1" w:after="100" w:afterAutospacing="1" w:line="360" w:lineRule="auto"/>
              <w:contextualSpacing/>
              <w:jc w:val="both"/>
              <w:rPr>
                <w:rFonts w:ascii="Arial Narrow" w:eastAsia="Times New Roman" w:hAnsi="Arial Narrow" w:cs="Calibri"/>
                <w:sz w:val="24"/>
                <w:szCs w:val="24"/>
                <w:lang w:val="es-MX" w:eastAsia="es-ES_tradnl"/>
              </w:rPr>
            </w:pPr>
            <w:r w:rsidRPr="00CD728B">
              <w:rPr>
                <w:rFonts w:ascii="Arial Narrow" w:eastAsia="Times New Roman" w:hAnsi="Arial Narrow" w:cs="Calibri"/>
                <w:sz w:val="24"/>
                <w:szCs w:val="24"/>
                <w:lang w:val="es-MX" w:eastAsia="es-ES_tradnl"/>
              </w:rPr>
              <w:t>92.48</w:t>
            </w:r>
          </w:p>
        </w:tc>
        <w:tc>
          <w:tcPr>
            <w:tcW w:w="1181" w:type="dxa"/>
            <w:shd w:val="clear" w:color="000000" w:fill="FFFFFF"/>
            <w:noWrap/>
            <w:vAlign w:val="center"/>
            <w:hideMark/>
          </w:tcPr>
          <w:p w:rsidR="00940CBA" w:rsidRPr="00CD728B" w:rsidRDefault="00940CBA" w:rsidP="002E7D47">
            <w:pPr>
              <w:spacing w:before="100" w:beforeAutospacing="1" w:after="100" w:afterAutospacing="1" w:line="360" w:lineRule="auto"/>
              <w:contextualSpacing/>
              <w:jc w:val="both"/>
              <w:rPr>
                <w:rFonts w:ascii="Arial Narrow" w:eastAsia="Times New Roman" w:hAnsi="Arial Narrow" w:cs="Calibri"/>
                <w:sz w:val="24"/>
                <w:szCs w:val="24"/>
                <w:lang w:val="es-MX" w:eastAsia="es-ES_tradnl"/>
              </w:rPr>
            </w:pPr>
            <w:r w:rsidRPr="00CD728B">
              <w:rPr>
                <w:rFonts w:ascii="Arial Narrow" w:eastAsia="Times New Roman" w:hAnsi="Arial Narrow" w:cs="Calibri"/>
                <w:sz w:val="24"/>
                <w:szCs w:val="24"/>
                <w:lang w:val="es-MX" w:eastAsia="es-ES_tradnl"/>
              </w:rPr>
              <w:t>81.64</w:t>
            </w:r>
          </w:p>
        </w:tc>
      </w:tr>
      <w:tr w:rsidR="00940CBA" w:rsidRPr="00CD728B" w:rsidTr="006C722A">
        <w:trPr>
          <w:trHeight w:val="300"/>
        </w:trPr>
        <w:tc>
          <w:tcPr>
            <w:tcW w:w="5740" w:type="dxa"/>
            <w:shd w:val="clear" w:color="000000" w:fill="FFFFFF"/>
            <w:noWrap/>
            <w:vAlign w:val="center"/>
            <w:hideMark/>
          </w:tcPr>
          <w:p w:rsidR="00940CBA" w:rsidRPr="00CD728B" w:rsidRDefault="00940CBA" w:rsidP="002E7D47">
            <w:pPr>
              <w:spacing w:before="100" w:beforeAutospacing="1" w:after="100" w:afterAutospacing="1" w:line="360" w:lineRule="auto"/>
              <w:contextualSpacing/>
              <w:jc w:val="both"/>
              <w:rPr>
                <w:rFonts w:ascii="Arial Narrow" w:eastAsia="Times New Roman" w:hAnsi="Arial Narrow" w:cs="Calibri"/>
                <w:sz w:val="24"/>
                <w:szCs w:val="24"/>
                <w:lang w:val="es-MX" w:eastAsia="es-ES_tradnl"/>
              </w:rPr>
            </w:pPr>
            <w:r w:rsidRPr="00CD728B">
              <w:rPr>
                <w:rFonts w:ascii="Arial Narrow" w:eastAsia="Times New Roman" w:hAnsi="Arial Narrow" w:cs="Calibri"/>
                <w:sz w:val="24"/>
                <w:szCs w:val="24"/>
                <w:lang w:val="es-MX" w:eastAsia="es-ES_tradnl"/>
              </w:rPr>
              <w:t>Secretaría de Desarrollo Urbano y Vivienda</w:t>
            </w:r>
          </w:p>
        </w:tc>
        <w:tc>
          <w:tcPr>
            <w:tcW w:w="993" w:type="dxa"/>
            <w:shd w:val="clear" w:color="auto" w:fill="C9C9C9" w:themeFill="accent3" w:themeFillTint="99"/>
            <w:noWrap/>
            <w:vAlign w:val="center"/>
            <w:hideMark/>
          </w:tcPr>
          <w:p w:rsidR="00940CBA" w:rsidRPr="00CD728B" w:rsidRDefault="00940CBA" w:rsidP="002E7D47">
            <w:pPr>
              <w:spacing w:before="100" w:beforeAutospacing="1" w:after="100" w:afterAutospacing="1" w:line="360" w:lineRule="auto"/>
              <w:contextualSpacing/>
              <w:jc w:val="both"/>
              <w:rPr>
                <w:rFonts w:ascii="Arial Narrow" w:eastAsia="Times New Roman" w:hAnsi="Arial Narrow" w:cs="Calibri"/>
                <w:sz w:val="24"/>
                <w:szCs w:val="24"/>
                <w:lang w:val="es-MX" w:eastAsia="es-ES_tradnl"/>
              </w:rPr>
            </w:pPr>
            <w:r w:rsidRPr="00CD728B">
              <w:rPr>
                <w:rFonts w:ascii="Arial Narrow" w:eastAsia="Times New Roman" w:hAnsi="Arial Narrow" w:cs="Calibri"/>
                <w:sz w:val="24"/>
                <w:szCs w:val="24"/>
                <w:lang w:val="es-MX" w:eastAsia="es-ES_tradnl"/>
              </w:rPr>
              <w:t>85.74</w:t>
            </w:r>
          </w:p>
        </w:tc>
        <w:tc>
          <w:tcPr>
            <w:tcW w:w="1064" w:type="dxa"/>
            <w:shd w:val="clear" w:color="000000" w:fill="FFFFFF"/>
            <w:noWrap/>
            <w:vAlign w:val="center"/>
            <w:hideMark/>
          </w:tcPr>
          <w:p w:rsidR="00940CBA" w:rsidRPr="00CD728B" w:rsidRDefault="00940CBA" w:rsidP="002E7D47">
            <w:pPr>
              <w:spacing w:before="100" w:beforeAutospacing="1" w:after="100" w:afterAutospacing="1" w:line="360" w:lineRule="auto"/>
              <w:contextualSpacing/>
              <w:jc w:val="both"/>
              <w:rPr>
                <w:rFonts w:ascii="Arial Narrow" w:eastAsia="Times New Roman" w:hAnsi="Arial Narrow" w:cs="Calibri"/>
                <w:sz w:val="24"/>
                <w:szCs w:val="24"/>
                <w:lang w:val="es-MX" w:eastAsia="es-ES_tradnl"/>
              </w:rPr>
            </w:pPr>
            <w:r w:rsidRPr="00CD728B">
              <w:rPr>
                <w:rFonts w:ascii="Arial Narrow" w:eastAsia="Times New Roman" w:hAnsi="Arial Narrow" w:cs="Calibri"/>
                <w:sz w:val="24"/>
                <w:szCs w:val="24"/>
                <w:lang w:val="es-MX" w:eastAsia="es-ES_tradnl"/>
              </w:rPr>
              <w:t>80.71</w:t>
            </w:r>
          </w:p>
        </w:tc>
        <w:tc>
          <w:tcPr>
            <w:tcW w:w="1181" w:type="dxa"/>
            <w:shd w:val="clear" w:color="000000" w:fill="FFFFFF"/>
            <w:noWrap/>
            <w:vAlign w:val="center"/>
            <w:hideMark/>
          </w:tcPr>
          <w:p w:rsidR="00940CBA" w:rsidRPr="00CD728B" w:rsidRDefault="00940CBA" w:rsidP="002E7D47">
            <w:pPr>
              <w:spacing w:before="100" w:beforeAutospacing="1" w:after="100" w:afterAutospacing="1" w:line="360" w:lineRule="auto"/>
              <w:contextualSpacing/>
              <w:jc w:val="both"/>
              <w:rPr>
                <w:rFonts w:ascii="Arial Narrow" w:eastAsia="Times New Roman" w:hAnsi="Arial Narrow" w:cs="Calibri"/>
                <w:sz w:val="24"/>
                <w:szCs w:val="24"/>
                <w:lang w:val="es-MX" w:eastAsia="es-ES_tradnl"/>
              </w:rPr>
            </w:pPr>
            <w:r w:rsidRPr="00CD728B">
              <w:rPr>
                <w:rFonts w:ascii="Arial Narrow" w:eastAsia="Times New Roman" w:hAnsi="Arial Narrow" w:cs="Calibri"/>
                <w:sz w:val="24"/>
                <w:szCs w:val="24"/>
                <w:lang w:val="es-MX" w:eastAsia="es-ES_tradnl"/>
              </w:rPr>
              <w:t>90.77</w:t>
            </w:r>
          </w:p>
        </w:tc>
      </w:tr>
      <w:tr w:rsidR="00940CBA" w:rsidRPr="00CD728B" w:rsidTr="006C722A">
        <w:trPr>
          <w:trHeight w:val="300"/>
        </w:trPr>
        <w:tc>
          <w:tcPr>
            <w:tcW w:w="5740" w:type="dxa"/>
            <w:shd w:val="clear" w:color="000000" w:fill="FFFFFF"/>
            <w:noWrap/>
            <w:vAlign w:val="center"/>
            <w:hideMark/>
          </w:tcPr>
          <w:p w:rsidR="00940CBA" w:rsidRPr="00CD728B" w:rsidRDefault="00940CBA" w:rsidP="002E7D47">
            <w:pPr>
              <w:spacing w:before="100" w:beforeAutospacing="1" w:after="100" w:afterAutospacing="1" w:line="360" w:lineRule="auto"/>
              <w:contextualSpacing/>
              <w:jc w:val="both"/>
              <w:rPr>
                <w:rFonts w:ascii="Arial Narrow" w:eastAsia="Times New Roman" w:hAnsi="Arial Narrow" w:cs="Calibri"/>
                <w:sz w:val="24"/>
                <w:szCs w:val="24"/>
                <w:lang w:val="es-MX" w:eastAsia="es-ES_tradnl"/>
              </w:rPr>
            </w:pPr>
            <w:r w:rsidRPr="00CD728B">
              <w:rPr>
                <w:rFonts w:ascii="Arial Narrow" w:eastAsia="Times New Roman" w:hAnsi="Arial Narrow" w:cs="Calibri"/>
                <w:sz w:val="24"/>
                <w:szCs w:val="24"/>
                <w:lang w:val="es-MX" w:eastAsia="es-ES_tradnl"/>
              </w:rPr>
              <w:t>Secretaría de Gobierno</w:t>
            </w:r>
          </w:p>
        </w:tc>
        <w:tc>
          <w:tcPr>
            <w:tcW w:w="993" w:type="dxa"/>
            <w:shd w:val="clear" w:color="auto" w:fill="C9C9C9" w:themeFill="accent3" w:themeFillTint="99"/>
            <w:noWrap/>
            <w:vAlign w:val="center"/>
            <w:hideMark/>
          </w:tcPr>
          <w:p w:rsidR="00940CBA" w:rsidRPr="00CD728B" w:rsidRDefault="00940CBA" w:rsidP="002E7D47">
            <w:pPr>
              <w:spacing w:before="100" w:beforeAutospacing="1" w:after="100" w:afterAutospacing="1" w:line="360" w:lineRule="auto"/>
              <w:contextualSpacing/>
              <w:jc w:val="both"/>
              <w:rPr>
                <w:rFonts w:ascii="Arial Narrow" w:eastAsia="Times New Roman" w:hAnsi="Arial Narrow" w:cs="Calibri"/>
                <w:sz w:val="24"/>
                <w:szCs w:val="24"/>
                <w:lang w:val="es-MX" w:eastAsia="es-ES_tradnl"/>
              </w:rPr>
            </w:pPr>
            <w:r w:rsidRPr="00CD728B">
              <w:rPr>
                <w:rFonts w:ascii="Arial Narrow" w:eastAsia="Times New Roman" w:hAnsi="Arial Narrow" w:cs="Calibri"/>
                <w:sz w:val="24"/>
                <w:szCs w:val="24"/>
                <w:lang w:val="es-MX" w:eastAsia="es-ES_tradnl"/>
              </w:rPr>
              <w:t>82.12</w:t>
            </w:r>
          </w:p>
        </w:tc>
        <w:tc>
          <w:tcPr>
            <w:tcW w:w="1064" w:type="dxa"/>
            <w:shd w:val="clear" w:color="000000" w:fill="FFFFFF"/>
            <w:noWrap/>
            <w:vAlign w:val="center"/>
            <w:hideMark/>
          </w:tcPr>
          <w:p w:rsidR="00940CBA" w:rsidRPr="00CD728B" w:rsidRDefault="00940CBA" w:rsidP="002E7D47">
            <w:pPr>
              <w:spacing w:before="100" w:beforeAutospacing="1" w:after="100" w:afterAutospacing="1" w:line="360" w:lineRule="auto"/>
              <w:contextualSpacing/>
              <w:jc w:val="both"/>
              <w:rPr>
                <w:rFonts w:ascii="Arial Narrow" w:eastAsia="Times New Roman" w:hAnsi="Arial Narrow" w:cs="Calibri"/>
                <w:sz w:val="24"/>
                <w:szCs w:val="24"/>
                <w:lang w:val="es-MX" w:eastAsia="es-ES_tradnl"/>
              </w:rPr>
            </w:pPr>
            <w:r w:rsidRPr="00CD728B">
              <w:rPr>
                <w:rFonts w:ascii="Arial Narrow" w:eastAsia="Times New Roman" w:hAnsi="Arial Narrow" w:cs="Calibri"/>
                <w:sz w:val="24"/>
                <w:szCs w:val="24"/>
                <w:lang w:val="es-MX" w:eastAsia="es-ES_tradnl"/>
              </w:rPr>
              <w:t>77.50</w:t>
            </w:r>
          </w:p>
        </w:tc>
        <w:tc>
          <w:tcPr>
            <w:tcW w:w="1181" w:type="dxa"/>
            <w:shd w:val="clear" w:color="000000" w:fill="FFFFFF"/>
            <w:noWrap/>
            <w:vAlign w:val="center"/>
            <w:hideMark/>
          </w:tcPr>
          <w:p w:rsidR="00940CBA" w:rsidRPr="00CD728B" w:rsidRDefault="00940CBA" w:rsidP="002E7D47">
            <w:pPr>
              <w:spacing w:before="100" w:beforeAutospacing="1" w:after="100" w:afterAutospacing="1" w:line="360" w:lineRule="auto"/>
              <w:contextualSpacing/>
              <w:jc w:val="both"/>
              <w:rPr>
                <w:rFonts w:ascii="Arial Narrow" w:eastAsia="Times New Roman" w:hAnsi="Arial Narrow" w:cs="Calibri"/>
                <w:sz w:val="24"/>
                <w:szCs w:val="24"/>
                <w:lang w:val="es-MX" w:eastAsia="es-ES_tradnl"/>
              </w:rPr>
            </w:pPr>
            <w:r w:rsidRPr="00CD728B">
              <w:rPr>
                <w:rFonts w:ascii="Arial Narrow" w:eastAsia="Times New Roman" w:hAnsi="Arial Narrow" w:cs="Calibri"/>
                <w:sz w:val="24"/>
                <w:szCs w:val="24"/>
                <w:lang w:val="es-MX" w:eastAsia="es-ES_tradnl"/>
              </w:rPr>
              <w:t>86.74</w:t>
            </w:r>
          </w:p>
        </w:tc>
      </w:tr>
      <w:tr w:rsidR="00940CBA" w:rsidRPr="00CD728B" w:rsidTr="006C722A">
        <w:trPr>
          <w:trHeight w:val="300"/>
        </w:trPr>
        <w:tc>
          <w:tcPr>
            <w:tcW w:w="5740" w:type="dxa"/>
            <w:shd w:val="clear" w:color="000000" w:fill="FFFFFF"/>
            <w:noWrap/>
            <w:vAlign w:val="center"/>
            <w:hideMark/>
          </w:tcPr>
          <w:p w:rsidR="00940CBA" w:rsidRPr="00CD728B" w:rsidRDefault="00940CBA" w:rsidP="002E7D47">
            <w:pPr>
              <w:spacing w:before="100" w:beforeAutospacing="1" w:after="100" w:afterAutospacing="1" w:line="360" w:lineRule="auto"/>
              <w:contextualSpacing/>
              <w:jc w:val="both"/>
              <w:rPr>
                <w:rFonts w:ascii="Arial Narrow" w:eastAsia="Times New Roman" w:hAnsi="Arial Narrow" w:cs="Calibri"/>
                <w:sz w:val="24"/>
                <w:szCs w:val="24"/>
                <w:lang w:val="es-MX" w:eastAsia="es-ES_tradnl"/>
              </w:rPr>
            </w:pPr>
            <w:r w:rsidRPr="00CD728B">
              <w:rPr>
                <w:rFonts w:ascii="Arial Narrow" w:eastAsia="Times New Roman" w:hAnsi="Arial Narrow" w:cs="Calibri"/>
                <w:sz w:val="24"/>
                <w:szCs w:val="24"/>
                <w:lang w:val="es-MX" w:eastAsia="es-ES_tradnl"/>
              </w:rPr>
              <w:t>Secretaría de Desarrollo Rural y Equidad para las Comunidades</w:t>
            </w:r>
          </w:p>
        </w:tc>
        <w:tc>
          <w:tcPr>
            <w:tcW w:w="993" w:type="dxa"/>
            <w:shd w:val="clear" w:color="auto" w:fill="C9C9C9" w:themeFill="accent3" w:themeFillTint="99"/>
            <w:noWrap/>
            <w:vAlign w:val="center"/>
            <w:hideMark/>
          </w:tcPr>
          <w:p w:rsidR="00940CBA" w:rsidRPr="00CD728B" w:rsidRDefault="00940CBA" w:rsidP="002E7D47">
            <w:pPr>
              <w:spacing w:before="100" w:beforeAutospacing="1" w:after="100" w:afterAutospacing="1" w:line="360" w:lineRule="auto"/>
              <w:contextualSpacing/>
              <w:jc w:val="both"/>
              <w:rPr>
                <w:rFonts w:ascii="Arial Narrow" w:eastAsia="Times New Roman" w:hAnsi="Arial Narrow" w:cs="Calibri"/>
                <w:sz w:val="24"/>
                <w:szCs w:val="24"/>
                <w:lang w:val="es-MX" w:eastAsia="es-ES_tradnl"/>
              </w:rPr>
            </w:pPr>
            <w:r w:rsidRPr="00CD728B">
              <w:rPr>
                <w:rFonts w:ascii="Arial Narrow" w:eastAsia="Times New Roman" w:hAnsi="Arial Narrow" w:cs="Calibri"/>
                <w:sz w:val="24"/>
                <w:szCs w:val="24"/>
                <w:lang w:val="es-MX" w:eastAsia="es-ES_tradnl"/>
              </w:rPr>
              <w:t>77.44</w:t>
            </w:r>
          </w:p>
        </w:tc>
        <w:tc>
          <w:tcPr>
            <w:tcW w:w="1064" w:type="dxa"/>
            <w:shd w:val="clear" w:color="000000" w:fill="FFFFFF"/>
            <w:noWrap/>
            <w:vAlign w:val="center"/>
            <w:hideMark/>
          </w:tcPr>
          <w:p w:rsidR="00940CBA" w:rsidRPr="00CD728B" w:rsidRDefault="00940CBA" w:rsidP="002E7D47">
            <w:pPr>
              <w:spacing w:before="100" w:beforeAutospacing="1" w:after="100" w:afterAutospacing="1" w:line="360" w:lineRule="auto"/>
              <w:contextualSpacing/>
              <w:jc w:val="both"/>
              <w:rPr>
                <w:rFonts w:ascii="Arial Narrow" w:eastAsia="Times New Roman" w:hAnsi="Arial Narrow" w:cs="Calibri"/>
                <w:sz w:val="24"/>
                <w:szCs w:val="24"/>
                <w:lang w:val="es-MX" w:eastAsia="es-ES_tradnl"/>
              </w:rPr>
            </w:pPr>
            <w:r w:rsidRPr="00CD728B">
              <w:rPr>
                <w:rFonts w:ascii="Arial Narrow" w:eastAsia="Times New Roman" w:hAnsi="Arial Narrow" w:cs="Calibri"/>
                <w:sz w:val="24"/>
                <w:szCs w:val="24"/>
                <w:lang w:val="es-MX" w:eastAsia="es-ES_tradnl"/>
              </w:rPr>
              <w:t>75.04</w:t>
            </w:r>
          </w:p>
        </w:tc>
        <w:tc>
          <w:tcPr>
            <w:tcW w:w="1181" w:type="dxa"/>
            <w:shd w:val="clear" w:color="000000" w:fill="FFFFFF"/>
            <w:noWrap/>
            <w:vAlign w:val="center"/>
            <w:hideMark/>
          </w:tcPr>
          <w:p w:rsidR="00940CBA" w:rsidRPr="00CD728B" w:rsidRDefault="00940CBA" w:rsidP="002E7D47">
            <w:pPr>
              <w:spacing w:before="100" w:beforeAutospacing="1" w:after="100" w:afterAutospacing="1" w:line="360" w:lineRule="auto"/>
              <w:contextualSpacing/>
              <w:jc w:val="both"/>
              <w:rPr>
                <w:rFonts w:ascii="Arial Narrow" w:eastAsia="Times New Roman" w:hAnsi="Arial Narrow" w:cs="Calibri"/>
                <w:sz w:val="24"/>
                <w:szCs w:val="24"/>
                <w:lang w:val="es-MX" w:eastAsia="es-ES_tradnl"/>
              </w:rPr>
            </w:pPr>
            <w:r w:rsidRPr="00CD728B">
              <w:rPr>
                <w:rFonts w:ascii="Arial Narrow" w:eastAsia="Times New Roman" w:hAnsi="Arial Narrow" w:cs="Calibri"/>
                <w:sz w:val="24"/>
                <w:szCs w:val="24"/>
                <w:lang w:val="es-MX" w:eastAsia="es-ES_tradnl"/>
              </w:rPr>
              <w:t>79.83</w:t>
            </w:r>
          </w:p>
        </w:tc>
      </w:tr>
      <w:tr w:rsidR="00940CBA" w:rsidRPr="00CD728B" w:rsidTr="006C722A">
        <w:trPr>
          <w:trHeight w:val="300"/>
        </w:trPr>
        <w:tc>
          <w:tcPr>
            <w:tcW w:w="5740" w:type="dxa"/>
            <w:shd w:val="clear" w:color="000000" w:fill="FFFFFF"/>
            <w:noWrap/>
            <w:vAlign w:val="center"/>
            <w:hideMark/>
          </w:tcPr>
          <w:p w:rsidR="00940CBA" w:rsidRPr="00CD728B" w:rsidRDefault="00940CBA" w:rsidP="002E7D47">
            <w:pPr>
              <w:spacing w:before="100" w:beforeAutospacing="1" w:after="100" w:afterAutospacing="1" w:line="360" w:lineRule="auto"/>
              <w:contextualSpacing/>
              <w:jc w:val="both"/>
              <w:rPr>
                <w:rFonts w:ascii="Arial Narrow" w:eastAsia="Times New Roman" w:hAnsi="Arial Narrow" w:cs="Calibri"/>
                <w:sz w:val="24"/>
                <w:szCs w:val="24"/>
                <w:lang w:val="es-MX" w:eastAsia="es-ES_tradnl"/>
              </w:rPr>
            </w:pPr>
            <w:r w:rsidRPr="00CD728B">
              <w:rPr>
                <w:rFonts w:ascii="Arial Narrow" w:eastAsia="Times New Roman" w:hAnsi="Arial Narrow" w:cs="Calibri"/>
                <w:sz w:val="24"/>
                <w:szCs w:val="24"/>
                <w:lang w:val="es-MX" w:eastAsia="es-ES_tradnl"/>
              </w:rPr>
              <w:t>Secretaría de Ciencia, Tecnología e Innovación</w:t>
            </w:r>
          </w:p>
        </w:tc>
        <w:tc>
          <w:tcPr>
            <w:tcW w:w="993" w:type="dxa"/>
            <w:shd w:val="clear" w:color="auto" w:fill="C9C9C9" w:themeFill="accent3" w:themeFillTint="99"/>
            <w:noWrap/>
            <w:vAlign w:val="center"/>
            <w:hideMark/>
          </w:tcPr>
          <w:p w:rsidR="00940CBA" w:rsidRPr="00CD728B" w:rsidRDefault="00940CBA" w:rsidP="002E7D47">
            <w:pPr>
              <w:spacing w:before="100" w:beforeAutospacing="1" w:after="100" w:afterAutospacing="1" w:line="360" w:lineRule="auto"/>
              <w:contextualSpacing/>
              <w:jc w:val="both"/>
              <w:rPr>
                <w:rFonts w:ascii="Arial Narrow" w:eastAsia="Times New Roman" w:hAnsi="Arial Narrow" w:cs="Calibri"/>
                <w:sz w:val="24"/>
                <w:szCs w:val="24"/>
                <w:lang w:val="es-MX" w:eastAsia="es-ES_tradnl"/>
              </w:rPr>
            </w:pPr>
            <w:r w:rsidRPr="00CD728B">
              <w:rPr>
                <w:rFonts w:ascii="Arial Narrow" w:eastAsia="Times New Roman" w:hAnsi="Arial Narrow" w:cs="Calibri"/>
                <w:sz w:val="24"/>
                <w:szCs w:val="24"/>
                <w:lang w:val="es-MX" w:eastAsia="es-ES_tradnl"/>
              </w:rPr>
              <w:t>76.56</w:t>
            </w:r>
          </w:p>
        </w:tc>
        <w:tc>
          <w:tcPr>
            <w:tcW w:w="1064" w:type="dxa"/>
            <w:shd w:val="clear" w:color="000000" w:fill="FFFFFF"/>
            <w:noWrap/>
            <w:vAlign w:val="center"/>
            <w:hideMark/>
          </w:tcPr>
          <w:p w:rsidR="00940CBA" w:rsidRPr="00CD728B" w:rsidRDefault="00940CBA" w:rsidP="002E7D47">
            <w:pPr>
              <w:spacing w:before="100" w:beforeAutospacing="1" w:after="100" w:afterAutospacing="1" w:line="360" w:lineRule="auto"/>
              <w:contextualSpacing/>
              <w:jc w:val="both"/>
              <w:rPr>
                <w:rFonts w:ascii="Arial Narrow" w:eastAsia="Times New Roman" w:hAnsi="Arial Narrow" w:cs="Calibri"/>
                <w:sz w:val="24"/>
                <w:szCs w:val="24"/>
                <w:lang w:val="es-MX" w:eastAsia="es-ES_tradnl"/>
              </w:rPr>
            </w:pPr>
            <w:r w:rsidRPr="00CD728B">
              <w:rPr>
                <w:rFonts w:ascii="Arial Narrow" w:eastAsia="Times New Roman" w:hAnsi="Arial Narrow" w:cs="Calibri"/>
                <w:sz w:val="24"/>
                <w:szCs w:val="24"/>
                <w:lang w:val="es-MX" w:eastAsia="es-ES_tradnl"/>
              </w:rPr>
              <w:t>69.26</w:t>
            </w:r>
          </w:p>
        </w:tc>
        <w:tc>
          <w:tcPr>
            <w:tcW w:w="1181" w:type="dxa"/>
            <w:shd w:val="clear" w:color="000000" w:fill="FFFFFF"/>
            <w:noWrap/>
            <w:vAlign w:val="center"/>
            <w:hideMark/>
          </w:tcPr>
          <w:p w:rsidR="00940CBA" w:rsidRPr="00CD728B" w:rsidRDefault="00940CBA" w:rsidP="002E7D47">
            <w:pPr>
              <w:spacing w:before="100" w:beforeAutospacing="1" w:after="100" w:afterAutospacing="1" w:line="360" w:lineRule="auto"/>
              <w:contextualSpacing/>
              <w:jc w:val="both"/>
              <w:rPr>
                <w:rFonts w:ascii="Arial Narrow" w:eastAsia="Times New Roman" w:hAnsi="Arial Narrow" w:cs="Calibri"/>
                <w:sz w:val="24"/>
                <w:szCs w:val="24"/>
                <w:lang w:val="es-MX" w:eastAsia="es-ES_tradnl"/>
              </w:rPr>
            </w:pPr>
            <w:r w:rsidRPr="00CD728B">
              <w:rPr>
                <w:rFonts w:ascii="Arial Narrow" w:eastAsia="Times New Roman" w:hAnsi="Arial Narrow" w:cs="Calibri"/>
                <w:sz w:val="24"/>
                <w:szCs w:val="24"/>
                <w:lang w:val="es-MX" w:eastAsia="es-ES_tradnl"/>
              </w:rPr>
              <w:t>83.86</w:t>
            </w:r>
          </w:p>
        </w:tc>
      </w:tr>
      <w:tr w:rsidR="00940CBA" w:rsidRPr="00CD728B" w:rsidTr="006C722A">
        <w:trPr>
          <w:trHeight w:val="300"/>
        </w:trPr>
        <w:tc>
          <w:tcPr>
            <w:tcW w:w="5740" w:type="dxa"/>
            <w:shd w:val="clear" w:color="000000" w:fill="FFFFFF"/>
            <w:noWrap/>
            <w:vAlign w:val="center"/>
            <w:hideMark/>
          </w:tcPr>
          <w:p w:rsidR="00940CBA" w:rsidRPr="00CD728B" w:rsidRDefault="00940CBA" w:rsidP="002E7D47">
            <w:pPr>
              <w:spacing w:before="100" w:beforeAutospacing="1" w:after="100" w:afterAutospacing="1" w:line="360" w:lineRule="auto"/>
              <w:contextualSpacing/>
              <w:jc w:val="both"/>
              <w:rPr>
                <w:rFonts w:ascii="Arial Narrow" w:eastAsia="Times New Roman" w:hAnsi="Arial Narrow" w:cs="Calibri"/>
                <w:sz w:val="24"/>
                <w:szCs w:val="24"/>
                <w:lang w:val="es-MX" w:eastAsia="es-ES_tradnl"/>
              </w:rPr>
            </w:pPr>
            <w:r w:rsidRPr="00CD728B">
              <w:rPr>
                <w:rFonts w:ascii="Arial Narrow" w:eastAsia="Times New Roman" w:hAnsi="Arial Narrow" w:cs="Calibri"/>
                <w:sz w:val="24"/>
                <w:szCs w:val="24"/>
                <w:lang w:val="es-MX" w:eastAsia="es-ES_tradnl"/>
              </w:rPr>
              <w:t>Secretaría de Protección Civil</w:t>
            </w:r>
          </w:p>
        </w:tc>
        <w:tc>
          <w:tcPr>
            <w:tcW w:w="993" w:type="dxa"/>
            <w:shd w:val="clear" w:color="auto" w:fill="C9C9C9" w:themeFill="accent3" w:themeFillTint="99"/>
            <w:noWrap/>
            <w:vAlign w:val="center"/>
            <w:hideMark/>
          </w:tcPr>
          <w:p w:rsidR="00940CBA" w:rsidRPr="00CD728B" w:rsidRDefault="00940CBA" w:rsidP="002E7D47">
            <w:pPr>
              <w:spacing w:before="100" w:beforeAutospacing="1" w:after="100" w:afterAutospacing="1" w:line="360" w:lineRule="auto"/>
              <w:contextualSpacing/>
              <w:jc w:val="both"/>
              <w:rPr>
                <w:rFonts w:ascii="Arial Narrow" w:eastAsia="Times New Roman" w:hAnsi="Arial Narrow" w:cs="Calibri"/>
                <w:sz w:val="24"/>
                <w:szCs w:val="24"/>
                <w:lang w:val="es-MX" w:eastAsia="es-ES_tradnl"/>
              </w:rPr>
            </w:pPr>
            <w:r w:rsidRPr="00CD728B">
              <w:rPr>
                <w:rFonts w:ascii="Arial Narrow" w:eastAsia="Times New Roman" w:hAnsi="Arial Narrow" w:cs="Calibri"/>
                <w:sz w:val="24"/>
                <w:szCs w:val="24"/>
                <w:lang w:val="es-MX" w:eastAsia="es-ES_tradnl"/>
              </w:rPr>
              <w:t>71.98</w:t>
            </w:r>
          </w:p>
        </w:tc>
        <w:tc>
          <w:tcPr>
            <w:tcW w:w="1064" w:type="dxa"/>
            <w:shd w:val="clear" w:color="000000" w:fill="FFFFFF"/>
            <w:noWrap/>
            <w:vAlign w:val="center"/>
            <w:hideMark/>
          </w:tcPr>
          <w:p w:rsidR="00940CBA" w:rsidRPr="00CD728B" w:rsidRDefault="00940CBA" w:rsidP="002E7D47">
            <w:pPr>
              <w:spacing w:before="100" w:beforeAutospacing="1" w:after="100" w:afterAutospacing="1" w:line="360" w:lineRule="auto"/>
              <w:contextualSpacing/>
              <w:jc w:val="both"/>
              <w:rPr>
                <w:rFonts w:ascii="Arial Narrow" w:eastAsia="Times New Roman" w:hAnsi="Arial Narrow" w:cs="Calibri"/>
                <w:sz w:val="24"/>
                <w:szCs w:val="24"/>
                <w:lang w:val="es-MX" w:eastAsia="es-ES_tradnl"/>
              </w:rPr>
            </w:pPr>
            <w:r w:rsidRPr="00CD728B">
              <w:rPr>
                <w:rFonts w:ascii="Arial Narrow" w:eastAsia="Times New Roman" w:hAnsi="Arial Narrow" w:cs="Calibri"/>
                <w:sz w:val="24"/>
                <w:szCs w:val="24"/>
                <w:lang w:val="es-MX" w:eastAsia="es-ES_tradnl"/>
              </w:rPr>
              <w:t>54.20</w:t>
            </w:r>
          </w:p>
        </w:tc>
        <w:tc>
          <w:tcPr>
            <w:tcW w:w="1181" w:type="dxa"/>
            <w:shd w:val="clear" w:color="000000" w:fill="FFFFFF"/>
            <w:noWrap/>
            <w:vAlign w:val="center"/>
            <w:hideMark/>
          </w:tcPr>
          <w:p w:rsidR="00940CBA" w:rsidRPr="00CD728B" w:rsidRDefault="00940CBA" w:rsidP="002E7D47">
            <w:pPr>
              <w:spacing w:before="100" w:beforeAutospacing="1" w:after="100" w:afterAutospacing="1" w:line="360" w:lineRule="auto"/>
              <w:contextualSpacing/>
              <w:jc w:val="both"/>
              <w:rPr>
                <w:rFonts w:ascii="Arial Narrow" w:eastAsia="Times New Roman" w:hAnsi="Arial Narrow" w:cs="Calibri"/>
                <w:sz w:val="24"/>
                <w:szCs w:val="24"/>
                <w:lang w:val="es-MX" w:eastAsia="es-ES_tradnl"/>
              </w:rPr>
            </w:pPr>
            <w:r w:rsidRPr="00CD728B">
              <w:rPr>
                <w:rFonts w:ascii="Arial Narrow" w:eastAsia="Times New Roman" w:hAnsi="Arial Narrow" w:cs="Calibri"/>
                <w:sz w:val="24"/>
                <w:szCs w:val="24"/>
                <w:lang w:val="es-MX" w:eastAsia="es-ES_tradnl"/>
              </w:rPr>
              <w:t>89.75</w:t>
            </w:r>
          </w:p>
        </w:tc>
      </w:tr>
      <w:tr w:rsidR="00940CBA" w:rsidRPr="00CD728B" w:rsidTr="006C722A">
        <w:trPr>
          <w:trHeight w:val="300"/>
        </w:trPr>
        <w:tc>
          <w:tcPr>
            <w:tcW w:w="5740" w:type="dxa"/>
            <w:shd w:val="clear" w:color="000000" w:fill="FFFFFF"/>
            <w:noWrap/>
            <w:vAlign w:val="center"/>
            <w:hideMark/>
          </w:tcPr>
          <w:p w:rsidR="00940CBA" w:rsidRPr="00CD728B" w:rsidRDefault="00940CBA" w:rsidP="002E7D47">
            <w:pPr>
              <w:spacing w:before="100" w:beforeAutospacing="1" w:after="100" w:afterAutospacing="1" w:line="360" w:lineRule="auto"/>
              <w:contextualSpacing/>
              <w:jc w:val="both"/>
              <w:rPr>
                <w:rFonts w:ascii="Arial Narrow" w:eastAsia="Times New Roman" w:hAnsi="Arial Narrow" w:cs="Calibri"/>
                <w:sz w:val="24"/>
                <w:szCs w:val="24"/>
                <w:lang w:val="es-MX" w:eastAsia="es-ES_tradnl"/>
              </w:rPr>
            </w:pPr>
            <w:r w:rsidRPr="00CD728B">
              <w:rPr>
                <w:rFonts w:ascii="Arial Narrow" w:eastAsia="Times New Roman" w:hAnsi="Arial Narrow" w:cs="Calibri"/>
                <w:sz w:val="24"/>
                <w:szCs w:val="24"/>
                <w:lang w:val="es-MX" w:eastAsia="es-ES_tradnl"/>
              </w:rPr>
              <w:t xml:space="preserve">Comisión para la Reconstrucción, Recuperación y Transformación de la Ciudad de México, en una CDMX cada vez más </w:t>
            </w:r>
            <w:proofErr w:type="spellStart"/>
            <w:r w:rsidRPr="00CD728B">
              <w:rPr>
                <w:rFonts w:ascii="Arial Narrow" w:eastAsia="Times New Roman" w:hAnsi="Arial Narrow" w:cs="Calibri"/>
                <w:sz w:val="24"/>
                <w:szCs w:val="24"/>
                <w:lang w:val="es-MX" w:eastAsia="es-ES_tradnl"/>
              </w:rPr>
              <w:t>resiliente</w:t>
            </w:r>
            <w:proofErr w:type="spellEnd"/>
          </w:p>
        </w:tc>
        <w:tc>
          <w:tcPr>
            <w:tcW w:w="993" w:type="dxa"/>
            <w:shd w:val="clear" w:color="auto" w:fill="C9C9C9" w:themeFill="accent3" w:themeFillTint="99"/>
            <w:noWrap/>
            <w:vAlign w:val="center"/>
            <w:hideMark/>
          </w:tcPr>
          <w:p w:rsidR="00940CBA" w:rsidRPr="00CD728B" w:rsidRDefault="00940CBA" w:rsidP="002E7D47">
            <w:pPr>
              <w:spacing w:before="100" w:beforeAutospacing="1" w:after="100" w:afterAutospacing="1" w:line="360" w:lineRule="auto"/>
              <w:contextualSpacing/>
              <w:jc w:val="both"/>
              <w:rPr>
                <w:rFonts w:ascii="Arial Narrow" w:eastAsia="Times New Roman" w:hAnsi="Arial Narrow" w:cs="Calibri"/>
                <w:sz w:val="24"/>
                <w:szCs w:val="24"/>
                <w:lang w:val="es-MX" w:eastAsia="es-ES_tradnl"/>
              </w:rPr>
            </w:pPr>
            <w:r w:rsidRPr="00CD728B">
              <w:rPr>
                <w:rFonts w:ascii="Arial Narrow" w:eastAsia="Times New Roman" w:hAnsi="Arial Narrow" w:cs="Calibri"/>
                <w:sz w:val="24"/>
                <w:szCs w:val="24"/>
                <w:lang w:val="es-MX" w:eastAsia="es-ES_tradnl"/>
              </w:rPr>
              <w:t>69.52</w:t>
            </w:r>
          </w:p>
        </w:tc>
        <w:tc>
          <w:tcPr>
            <w:tcW w:w="1064" w:type="dxa"/>
            <w:shd w:val="clear" w:color="000000" w:fill="FFFFFF"/>
            <w:noWrap/>
            <w:vAlign w:val="center"/>
            <w:hideMark/>
          </w:tcPr>
          <w:p w:rsidR="00940CBA" w:rsidRPr="00CD728B" w:rsidRDefault="00940CBA" w:rsidP="002E7D47">
            <w:pPr>
              <w:spacing w:before="100" w:beforeAutospacing="1" w:after="100" w:afterAutospacing="1" w:line="360" w:lineRule="auto"/>
              <w:contextualSpacing/>
              <w:jc w:val="both"/>
              <w:rPr>
                <w:rFonts w:ascii="Arial Narrow" w:eastAsia="Times New Roman" w:hAnsi="Arial Narrow" w:cs="Calibri"/>
                <w:sz w:val="24"/>
                <w:szCs w:val="24"/>
                <w:lang w:val="es-MX" w:eastAsia="es-ES_tradnl"/>
              </w:rPr>
            </w:pPr>
            <w:r w:rsidRPr="00CD728B">
              <w:rPr>
                <w:rFonts w:ascii="Arial Narrow" w:eastAsia="Times New Roman" w:hAnsi="Arial Narrow" w:cs="Calibri"/>
                <w:sz w:val="24"/>
                <w:szCs w:val="24"/>
                <w:lang w:val="es-MX" w:eastAsia="es-ES_tradnl"/>
              </w:rPr>
              <w:t>67.86</w:t>
            </w:r>
          </w:p>
        </w:tc>
        <w:tc>
          <w:tcPr>
            <w:tcW w:w="1181" w:type="dxa"/>
            <w:shd w:val="clear" w:color="000000" w:fill="FFFFFF"/>
            <w:noWrap/>
            <w:vAlign w:val="center"/>
            <w:hideMark/>
          </w:tcPr>
          <w:p w:rsidR="00940CBA" w:rsidRPr="00CD728B" w:rsidRDefault="00940CBA" w:rsidP="002E7D47">
            <w:pPr>
              <w:spacing w:before="100" w:beforeAutospacing="1" w:after="100" w:afterAutospacing="1" w:line="360" w:lineRule="auto"/>
              <w:contextualSpacing/>
              <w:jc w:val="both"/>
              <w:rPr>
                <w:rFonts w:ascii="Arial Narrow" w:eastAsia="Times New Roman" w:hAnsi="Arial Narrow" w:cs="Calibri"/>
                <w:sz w:val="24"/>
                <w:szCs w:val="24"/>
                <w:lang w:val="es-MX" w:eastAsia="es-ES_tradnl"/>
              </w:rPr>
            </w:pPr>
            <w:r w:rsidRPr="00CD728B">
              <w:rPr>
                <w:rFonts w:ascii="Arial Narrow" w:eastAsia="Times New Roman" w:hAnsi="Arial Narrow" w:cs="Calibri"/>
                <w:sz w:val="24"/>
                <w:szCs w:val="24"/>
                <w:lang w:val="es-MX" w:eastAsia="es-ES_tradnl"/>
              </w:rPr>
              <w:t>71.18</w:t>
            </w:r>
          </w:p>
        </w:tc>
      </w:tr>
      <w:tr w:rsidR="00940CBA" w:rsidRPr="00CD728B" w:rsidTr="006C722A">
        <w:trPr>
          <w:trHeight w:val="300"/>
        </w:trPr>
        <w:tc>
          <w:tcPr>
            <w:tcW w:w="5740" w:type="dxa"/>
            <w:shd w:val="clear" w:color="000000" w:fill="FFFFFF"/>
            <w:noWrap/>
            <w:vAlign w:val="center"/>
            <w:hideMark/>
          </w:tcPr>
          <w:p w:rsidR="00940CBA" w:rsidRPr="00CD728B" w:rsidRDefault="00940CBA" w:rsidP="002E7D47">
            <w:pPr>
              <w:spacing w:before="100" w:beforeAutospacing="1" w:after="100" w:afterAutospacing="1" w:line="360" w:lineRule="auto"/>
              <w:contextualSpacing/>
              <w:jc w:val="both"/>
              <w:rPr>
                <w:rFonts w:ascii="Arial Narrow" w:eastAsia="Times New Roman" w:hAnsi="Arial Narrow" w:cs="Calibri"/>
                <w:sz w:val="24"/>
                <w:szCs w:val="24"/>
                <w:lang w:val="es-MX" w:eastAsia="es-ES_tradnl"/>
              </w:rPr>
            </w:pPr>
            <w:r w:rsidRPr="00CD728B">
              <w:rPr>
                <w:rFonts w:ascii="Arial Narrow" w:eastAsia="Times New Roman" w:hAnsi="Arial Narrow" w:cs="Calibri"/>
                <w:sz w:val="24"/>
                <w:szCs w:val="24"/>
                <w:lang w:val="es-MX" w:eastAsia="es-ES_tradnl"/>
              </w:rPr>
              <w:t>Oficialía Mayor</w:t>
            </w:r>
          </w:p>
        </w:tc>
        <w:tc>
          <w:tcPr>
            <w:tcW w:w="993" w:type="dxa"/>
            <w:shd w:val="clear" w:color="auto" w:fill="C9C9C9" w:themeFill="accent3" w:themeFillTint="99"/>
            <w:noWrap/>
            <w:vAlign w:val="center"/>
            <w:hideMark/>
          </w:tcPr>
          <w:p w:rsidR="00940CBA" w:rsidRPr="00CD728B" w:rsidRDefault="00940CBA" w:rsidP="002E7D47">
            <w:pPr>
              <w:spacing w:before="100" w:beforeAutospacing="1" w:after="100" w:afterAutospacing="1" w:line="360" w:lineRule="auto"/>
              <w:contextualSpacing/>
              <w:jc w:val="both"/>
              <w:rPr>
                <w:rFonts w:ascii="Arial Narrow" w:eastAsia="Times New Roman" w:hAnsi="Arial Narrow" w:cs="Calibri"/>
                <w:sz w:val="24"/>
                <w:szCs w:val="24"/>
                <w:lang w:val="es-MX" w:eastAsia="es-ES_tradnl"/>
              </w:rPr>
            </w:pPr>
            <w:r w:rsidRPr="00CD728B">
              <w:rPr>
                <w:rFonts w:ascii="Arial Narrow" w:eastAsia="Times New Roman" w:hAnsi="Arial Narrow" w:cs="Calibri"/>
                <w:sz w:val="24"/>
                <w:szCs w:val="24"/>
                <w:lang w:val="es-MX" w:eastAsia="es-ES_tradnl"/>
              </w:rPr>
              <w:t>69.27</w:t>
            </w:r>
          </w:p>
        </w:tc>
        <w:tc>
          <w:tcPr>
            <w:tcW w:w="1064" w:type="dxa"/>
            <w:shd w:val="clear" w:color="000000" w:fill="FFFFFF"/>
            <w:noWrap/>
            <w:vAlign w:val="center"/>
            <w:hideMark/>
          </w:tcPr>
          <w:p w:rsidR="00940CBA" w:rsidRPr="00CD728B" w:rsidRDefault="00940CBA" w:rsidP="002E7D47">
            <w:pPr>
              <w:spacing w:before="100" w:beforeAutospacing="1" w:after="100" w:afterAutospacing="1" w:line="360" w:lineRule="auto"/>
              <w:contextualSpacing/>
              <w:jc w:val="both"/>
              <w:rPr>
                <w:rFonts w:ascii="Arial Narrow" w:eastAsia="Times New Roman" w:hAnsi="Arial Narrow" w:cs="Calibri"/>
                <w:sz w:val="24"/>
                <w:szCs w:val="24"/>
                <w:lang w:val="es-MX" w:eastAsia="es-ES_tradnl"/>
              </w:rPr>
            </w:pPr>
            <w:r w:rsidRPr="00CD728B">
              <w:rPr>
                <w:rFonts w:ascii="Arial Narrow" w:eastAsia="Times New Roman" w:hAnsi="Arial Narrow" w:cs="Calibri"/>
                <w:sz w:val="24"/>
                <w:szCs w:val="24"/>
                <w:lang w:val="es-MX" w:eastAsia="es-ES_tradnl"/>
              </w:rPr>
              <w:t>69.27</w:t>
            </w:r>
          </w:p>
        </w:tc>
        <w:tc>
          <w:tcPr>
            <w:tcW w:w="1181" w:type="dxa"/>
            <w:shd w:val="clear" w:color="000000" w:fill="FFFFFF"/>
            <w:noWrap/>
            <w:vAlign w:val="center"/>
            <w:hideMark/>
          </w:tcPr>
          <w:p w:rsidR="00940CBA" w:rsidRPr="00CD728B" w:rsidRDefault="00940CBA" w:rsidP="002E7D47">
            <w:pPr>
              <w:spacing w:before="100" w:beforeAutospacing="1" w:after="100" w:afterAutospacing="1" w:line="360" w:lineRule="auto"/>
              <w:contextualSpacing/>
              <w:jc w:val="both"/>
              <w:rPr>
                <w:rFonts w:ascii="Arial Narrow" w:eastAsia="Times New Roman" w:hAnsi="Arial Narrow" w:cs="Calibri"/>
                <w:sz w:val="24"/>
                <w:szCs w:val="24"/>
                <w:lang w:val="es-MX" w:eastAsia="es-ES_tradnl"/>
              </w:rPr>
            </w:pPr>
            <w:r w:rsidRPr="00CD728B">
              <w:rPr>
                <w:rFonts w:ascii="Arial Narrow" w:eastAsia="Times New Roman" w:hAnsi="Arial Narrow" w:cs="Calibri"/>
                <w:sz w:val="24"/>
                <w:szCs w:val="24"/>
                <w:lang w:val="es-MX" w:eastAsia="es-ES_tradnl"/>
              </w:rPr>
              <w:t>69.27</w:t>
            </w:r>
          </w:p>
        </w:tc>
      </w:tr>
      <w:tr w:rsidR="00940CBA" w:rsidRPr="00CD728B" w:rsidTr="006C722A">
        <w:trPr>
          <w:trHeight w:val="300"/>
        </w:trPr>
        <w:tc>
          <w:tcPr>
            <w:tcW w:w="5740" w:type="dxa"/>
            <w:shd w:val="clear" w:color="000000" w:fill="FFFFFF"/>
            <w:noWrap/>
            <w:vAlign w:val="center"/>
            <w:hideMark/>
          </w:tcPr>
          <w:p w:rsidR="00940CBA" w:rsidRPr="00CD728B" w:rsidRDefault="00940CBA" w:rsidP="002E7D47">
            <w:pPr>
              <w:spacing w:before="100" w:beforeAutospacing="1" w:after="100" w:afterAutospacing="1" w:line="360" w:lineRule="auto"/>
              <w:contextualSpacing/>
              <w:jc w:val="both"/>
              <w:rPr>
                <w:rFonts w:ascii="Arial Narrow" w:eastAsia="Times New Roman" w:hAnsi="Arial Narrow" w:cs="Calibri"/>
                <w:sz w:val="24"/>
                <w:szCs w:val="24"/>
                <w:lang w:val="es-MX" w:eastAsia="es-ES_tradnl"/>
              </w:rPr>
            </w:pPr>
            <w:r w:rsidRPr="00CD728B">
              <w:rPr>
                <w:rFonts w:ascii="Arial Narrow" w:eastAsia="Times New Roman" w:hAnsi="Arial Narrow" w:cs="Calibri"/>
                <w:sz w:val="24"/>
                <w:szCs w:val="24"/>
                <w:lang w:val="es-MX" w:eastAsia="es-ES_tradnl"/>
              </w:rPr>
              <w:t>Secretaría de Turismo</w:t>
            </w:r>
          </w:p>
        </w:tc>
        <w:tc>
          <w:tcPr>
            <w:tcW w:w="993" w:type="dxa"/>
            <w:shd w:val="clear" w:color="auto" w:fill="C9C9C9" w:themeFill="accent3" w:themeFillTint="99"/>
            <w:noWrap/>
            <w:vAlign w:val="center"/>
            <w:hideMark/>
          </w:tcPr>
          <w:p w:rsidR="00940CBA" w:rsidRPr="00CD728B" w:rsidRDefault="00940CBA" w:rsidP="002E7D47">
            <w:pPr>
              <w:spacing w:before="100" w:beforeAutospacing="1" w:after="100" w:afterAutospacing="1" w:line="360" w:lineRule="auto"/>
              <w:contextualSpacing/>
              <w:jc w:val="both"/>
              <w:rPr>
                <w:rFonts w:ascii="Arial Narrow" w:eastAsia="Times New Roman" w:hAnsi="Arial Narrow" w:cs="Calibri"/>
                <w:sz w:val="24"/>
                <w:szCs w:val="24"/>
                <w:lang w:val="es-MX" w:eastAsia="es-ES_tradnl"/>
              </w:rPr>
            </w:pPr>
            <w:r w:rsidRPr="00CD728B">
              <w:rPr>
                <w:rFonts w:ascii="Arial Narrow" w:eastAsia="Times New Roman" w:hAnsi="Arial Narrow" w:cs="Calibri"/>
                <w:sz w:val="24"/>
                <w:szCs w:val="24"/>
                <w:lang w:val="es-MX" w:eastAsia="es-ES_tradnl"/>
              </w:rPr>
              <w:t>68.07</w:t>
            </w:r>
          </w:p>
        </w:tc>
        <w:tc>
          <w:tcPr>
            <w:tcW w:w="1064" w:type="dxa"/>
            <w:shd w:val="clear" w:color="000000" w:fill="FFFFFF"/>
            <w:noWrap/>
            <w:vAlign w:val="center"/>
            <w:hideMark/>
          </w:tcPr>
          <w:p w:rsidR="00940CBA" w:rsidRPr="00CD728B" w:rsidRDefault="00940CBA" w:rsidP="002E7D47">
            <w:pPr>
              <w:spacing w:before="100" w:beforeAutospacing="1" w:after="100" w:afterAutospacing="1" w:line="360" w:lineRule="auto"/>
              <w:contextualSpacing/>
              <w:jc w:val="both"/>
              <w:rPr>
                <w:rFonts w:ascii="Arial Narrow" w:eastAsia="Times New Roman" w:hAnsi="Arial Narrow" w:cs="Calibri"/>
                <w:sz w:val="24"/>
                <w:szCs w:val="24"/>
                <w:lang w:val="es-MX" w:eastAsia="es-ES_tradnl"/>
              </w:rPr>
            </w:pPr>
            <w:r w:rsidRPr="00CD728B">
              <w:rPr>
                <w:rFonts w:ascii="Arial Narrow" w:eastAsia="Times New Roman" w:hAnsi="Arial Narrow" w:cs="Calibri"/>
                <w:sz w:val="24"/>
                <w:szCs w:val="24"/>
                <w:lang w:val="es-MX" w:eastAsia="es-ES_tradnl"/>
              </w:rPr>
              <w:t>67.64</w:t>
            </w:r>
          </w:p>
        </w:tc>
        <w:tc>
          <w:tcPr>
            <w:tcW w:w="1181" w:type="dxa"/>
            <w:shd w:val="clear" w:color="000000" w:fill="FFFFFF"/>
            <w:noWrap/>
            <w:vAlign w:val="center"/>
            <w:hideMark/>
          </w:tcPr>
          <w:p w:rsidR="00940CBA" w:rsidRPr="00CD728B" w:rsidRDefault="00940CBA" w:rsidP="002E7D47">
            <w:pPr>
              <w:spacing w:before="100" w:beforeAutospacing="1" w:after="100" w:afterAutospacing="1" w:line="360" w:lineRule="auto"/>
              <w:contextualSpacing/>
              <w:jc w:val="both"/>
              <w:rPr>
                <w:rFonts w:ascii="Arial Narrow" w:eastAsia="Times New Roman" w:hAnsi="Arial Narrow" w:cs="Calibri"/>
                <w:sz w:val="24"/>
                <w:szCs w:val="24"/>
                <w:lang w:val="es-MX" w:eastAsia="es-ES_tradnl"/>
              </w:rPr>
            </w:pPr>
            <w:r w:rsidRPr="00CD728B">
              <w:rPr>
                <w:rFonts w:ascii="Arial Narrow" w:eastAsia="Times New Roman" w:hAnsi="Arial Narrow" w:cs="Calibri"/>
                <w:sz w:val="24"/>
                <w:szCs w:val="24"/>
                <w:lang w:val="es-MX" w:eastAsia="es-ES_tradnl"/>
              </w:rPr>
              <w:t>68.50</w:t>
            </w:r>
          </w:p>
        </w:tc>
      </w:tr>
      <w:tr w:rsidR="00940CBA" w:rsidRPr="00CD728B" w:rsidTr="006C722A">
        <w:trPr>
          <w:trHeight w:val="300"/>
        </w:trPr>
        <w:tc>
          <w:tcPr>
            <w:tcW w:w="5740" w:type="dxa"/>
            <w:shd w:val="clear" w:color="000000" w:fill="FFFFFF"/>
            <w:noWrap/>
            <w:vAlign w:val="center"/>
            <w:hideMark/>
          </w:tcPr>
          <w:p w:rsidR="00940CBA" w:rsidRPr="00CD728B" w:rsidRDefault="00940CBA" w:rsidP="002E7D47">
            <w:pPr>
              <w:spacing w:before="100" w:beforeAutospacing="1" w:after="100" w:afterAutospacing="1" w:line="360" w:lineRule="auto"/>
              <w:contextualSpacing/>
              <w:jc w:val="both"/>
              <w:rPr>
                <w:rFonts w:ascii="Arial Narrow" w:eastAsia="Times New Roman" w:hAnsi="Arial Narrow" w:cs="Calibri"/>
                <w:sz w:val="24"/>
                <w:szCs w:val="24"/>
                <w:lang w:val="es-MX" w:eastAsia="es-ES_tradnl"/>
              </w:rPr>
            </w:pPr>
            <w:r w:rsidRPr="00CD728B">
              <w:rPr>
                <w:rFonts w:ascii="Arial Narrow" w:eastAsia="Times New Roman" w:hAnsi="Arial Narrow" w:cs="Calibri"/>
                <w:sz w:val="24"/>
                <w:szCs w:val="24"/>
                <w:lang w:val="es-MX" w:eastAsia="es-ES_tradnl"/>
              </w:rPr>
              <w:t>Procuraduría General de Justicia del Distrito Federal</w:t>
            </w:r>
          </w:p>
        </w:tc>
        <w:tc>
          <w:tcPr>
            <w:tcW w:w="993" w:type="dxa"/>
            <w:shd w:val="clear" w:color="auto" w:fill="C9C9C9" w:themeFill="accent3" w:themeFillTint="99"/>
            <w:noWrap/>
            <w:vAlign w:val="center"/>
            <w:hideMark/>
          </w:tcPr>
          <w:p w:rsidR="00940CBA" w:rsidRPr="00CD728B" w:rsidRDefault="00940CBA" w:rsidP="002E7D47">
            <w:pPr>
              <w:spacing w:before="100" w:beforeAutospacing="1" w:after="100" w:afterAutospacing="1" w:line="360" w:lineRule="auto"/>
              <w:contextualSpacing/>
              <w:jc w:val="both"/>
              <w:rPr>
                <w:rFonts w:ascii="Arial Narrow" w:eastAsia="Times New Roman" w:hAnsi="Arial Narrow" w:cs="Calibri"/>
                <w:sz w:val="24"/>
                <w:szCs w:val="24"/>
                <w:lang w:val="es-MX" w:eastAsia="es-ES_tradnl"/>
              </w:rPr>
            </w:pPr>
            <w:r w:rsidRPr="00CD728B">
              <w:rPr>
                <w:rFonts w:ascii="Arial Narrow" w:eastAsia="Times New Roman" w:hAnsi="Arial Narrow" w:cs="Calibri"/>
                <w:sz w:val="24"/>
                <w:szCs w:val="24"/>
                <w:lang w:val="es-MX" w:eastAsia="es-ES_tradnl"/>
              </w:rPr>
              <w:t>44.11</w:t>
            </w:r>
          </w:p>
        </w:tc>
        <w:tc>
          <w:tcPr>
            <w:tcW w:w="1064" w:type="dxa"/>
            <w:shd w:val="clear" w:color="000000" w:fill="FFFFFF"/>
            <w:noWrap/>
            <w:vAlign w:val="center"/>
            <w:hideMark/>
          </w:tcPr>
          <w:p w:rsidR="00940CBA" w:rsidRPr="00CD728B" w:rsidRDefault="00940CBA" w:rsidP="002E7D47">
            <w:pPr>
              <w:spacing w:before="100" w:beforeAutospacing="1" w:after="100" w:afterAutospacing="1" w:line="360" w:lineRule="auto"/>
              <w:contextualSpacing/>
              <w:jc w:val="both"/>
              <w:rPr>
                <w:rFonts w:ascii="Arial Narrow" w:eastAsia="Times New Roman" w:hAnsi="Arial Narrow" w:cs="Calibri"/>
                <w:sz w:val="24"/>
                <w:szCs w:val="24"/>
                <w:lang w:val="es-MX" w:eastAsia="es-ES_tradnl"/>
              </w:rPr>
            </w:pPr>
            <w:r w:rsidRPr="00CD728B">
              <w:rPr>
                <w:rFonts w:ascii="Arial Narrow" w:eastAsia="Times New Roman" w:hAnsi="Arial Narrow" w:cs="Calibri"/>
                <w:sz w:val="24"/>
                <w:szCs w:val="24"/>
                <w:lang w:val="es-MX" w:eastAsia="es-ES_tradnl"/>
              </w:rPr>
              <w:t>48.25</w:t>
            </w:r>
          </w:p>
        </w:tc>
        <w:tc>
          <w:tcPr>
            <w:tcW w:w="1181" w:type="dxa"/>
            <w:shd w:val="clear" w:color="000000" w:fill="FFFFFF"/>
            <w:noWrap/>
            <w:vAlign w:val="center"/>
            <w:hideMark/>
          </w:tcPr>
          <w:p w:rsidR="00940CBA" w:rsidRPr="00CD728B" w:rsidRDefault="00940CBA" w:rsidP="002E7D47">
            <w:pPr>
              <w:spacing w:before="100" w:beforeAutospacing="1" w:after="100" w:afterAutospacing="1" w:line="360" w:lineRule="auto"/>
              <w:contextualSpacing/>
              <w:jc w:val="both"/>
              <w:rPr>
                <w:rFonts w:ascii="Arial Narrow" w:eastAsia="Times New Roman" w:hAnsi="Arial Narrow" w:cs="Calibri"/>
                <w:sz w:val="24"/>
                <w:szCs w:val="24"/>
                <w:lang w:val="es-MX" w:eastAsia="es-ES_tradnl"/>
              </w:rPr>
            </w:pPr>
            <w:r w:rsidRPr="00CD728B">
              <w:rPr>
                <w:rFonts w:ascii="Arial Narrow" w:eastAsia="Times New Roman" w:hAnsi="Arial Narrow" w:cs="Calibri"/>
                <w:sz w:val="24"/>
                <w:szCs w:val="24"/>
                <w:lang w:val="es-MX" w:eastAsia="es-ES_tradnl"/>
              </w:rPr>
              <w:t>39.96</w:t>
            </w:r>
          </w:p>
        </w:tc>
      </w:tr>
      <w:tr w:rsidR="00940CBA" w:rsidRPr="00CD728B" w:rsidTr="006C722A">
        <w:trPr>
          <w:trHeight w:val="300"/>
        </w:trPr>
        <w:tc>
          <w:tcPr>
            <w:tcW w:w="5740" w:type="dxa"/>
            <w:shd w:val="clear" w:color="000000" w:fill="FFFFFF"/>
            <w:noWrap/>
            <w:vAlign w:val="center"/>
            <w:hideMark/>
          </w:tcPr>
          <w:p w:rsidR="00940CBA" w:rsidRPr="00CD728B" w:rsidRDefault="00940CBA" w:rsidP="002E7D47">
            <w:pPr>
              <w:spacing w:before="100" w:beforeAutospacing="1" w:after="100" w:afterAutospacing="1" w:line="360" w:lineRule="auto"/>
              <w:contextualSpacing/>
              <w:jc w:val="both"/>
              <w:rPr>
                <w:rFonts w:ascii="Arial Narrow" w:eastAsia="Times New Roman" w:hAnsi="Arial Narrow" w:cs="Calibri"/>
                <w:sz w:val="24"/>
                <w:szCs w:val="24"/>
                <w:lang w:val="es-MX" w:eastAsia="es-ES_tradnl"/>
              </w:rPr>
            </w:pPr>
            <w:r w:rsidRPr="00CD728B">
              <w:rPr>
                <w:rFonts w:ascii="Arial Narrow" w:eastAsia="Times New Roman" w:hAnsi="Arial Narrow" w:cs="Calibri"/>
                <w:sz w:val="24"/>
                <w:szCs w:val="24"/>
                <w:lang w:val="es-MX" w:eastAsia="es-ES_tradnl"/>
              </w:rPr>
              <w:t>Secretaría de Trabajo y Fomento al Empleo</w:t>
            </w:r>
          </w:p>
        </w:tc>
        <w:tc>
          <w:tcPr>
            <w:tcW w:w="993" w:type="dxa"/>
            <w:shd w:val="clear" w:color="auto" w:fill="C9C9C9" w:themeFill="accent3" w:themeFillTint="99"/>
            <w:noWrap/>
            <w:vAlign w:val="center"/>
            <w:hideMark/>
          </w:tcPr>
          <w:p w:rsidR="00940CBA" w:rsidRPr="00CD728B" w:rsidRDefault="00940CBA" w:rsidP="002E7D47">
            <w:pPr>
              <w:spacing w:before="100" w:beforeAutospacing="1" w:after="100" w:afterAutospacing="1" w:line="360" w:lineRule="auto"/>
              <w:contextualSpacing/>
              <w:jc w:val="both"/>
              <w:rPr>
                <w:rFonts w:ascii="Arial Narrow" w:eastAsia="Times New Roman" w:hAnsi="Arial Narrow" w:cs="Calibri"/>
                <w:sz w:val="24"/>
                <w:szCs w:val="24"/>
                <w:lang w:val="es-MX" w:eastAsia="es-ES_tradnl"/>
              </w:rPr>
            </w:pPr>
            <w:r w:rsidRPr="00CD728B">
              <w:rPr>
                <w:rFonts w:ascii="Arial Narrow" w:eastAsia="Times New Roman" w:hAnsi="Arial Narrow" w:cs="Calibri"/>
                <w:sz w:val="24"/>
                <w:szCs w:val="24"/>
                <w:lang w:val="es-MX" w:eastAsia="es-ES_tradnl"/>
              </w:rPr>
              <w:t>37.43</w:t>
            </w:r>
          </w:p>
        </w:tc>
        <w:tc>
          <w:tcPr>
            <w:tcW w:w="1064" w:type="dxa"/>
            <w:shd w:val="clear" w:color="000000" w:fill="FFFFFF"/>
            <w:noWrap/>
            <w:vAlign w:val="center"/>
            <w:hideMark/>
          </w:tcPr>
          <w:p w:rsidR="00940CBA" w:rsidRPr="00CD728B" w:rsidRDefault="00940CBA" w:rsidP="002E7D47">
            <w:pPr>
              <w:spacing w:before="100" w:beforeAutospacing="1" w:after="100" w:afterAutospacing="1" w:line="360" w:lineRule="auto"/>
              <w:contextualSpacing/>
              <w:jc w:val="both"/>
              <w:rPr>
                <w:rFonts w:ascii="Arial Narrow" w:eastAsia="Times New Roman" w:hAnsi="Arial Narrow" w:cs="Calibri"/>
                <w:sz w:val="24"/>
                <w:szCs w:val="24"/>
                <w:lang w:val="es-MX" w:eastAsia="es-ES_tradnl"/>
              </w:rPr>
            </w:pPr>
            <w:r w:rsidRPr="00CD728B">
              <w:rPr>
                <w:rFonts w:ascii="Arial Narrow" w:eastAsia="Times New Roman" w:hAnsi="Arial Narrow" w:cs="Calibri"/>
                <w:sz w:val="24"/>
                <w:szCs w:val="24"/>
                <w:lang w:val="es-MX" w:eastAsia="es-ES_tradnl"/>
              </w:rPr>
              <w:t>36.08</w:t>
            </w:r>
          </w:p>
        </w:tc>
        <w:tc>
          <w:tcPr>
            <w:tcW w:w="1181" w:type="dxa"/>
            <w:shd w:val="clear" w:color="000000" w:fill="FFFFFF"/>
            <w:noWrap/>
            <w:vAlign w:val="center"/>
            <w:hideMark/>
          </w:tcPr>
          <w:p w:rsidR="00940CBA" w:rsidRPr="00CD728B" w:rsidRDefault="00940CBA" w:rsidP="002E7D47">
            <w:pPr>
              <w:spacing w:before="100" w:beforeAutospacing="1" w:after="100" w:afterAutospacing="1" w:line="360" w:lineRule="auto"/>
              <w:contextualSpacing/>
              <w:jc w:val="both"/>
              <w:rPr>
                <w:rFonts w:ascii="Arial Narrow" w:eastAsia="Times New Roman" w:hAnsi="Arial Narrow" w:cs="Calibri"/>
                <w:sz w:val="24"/>
                <w:szCs w:val="24"/>
                <w:lang w:val="es-MX" w:eastAsia="es-ES_tradnl"/>
              </w:rPr>
            </w:pPr>
            <w:r w:rsidRPr="00CD728B">
              <w:rPr>
                <w:rFonts w:ascii="Arial Narrow" w:eastAsia="Times New Roman" w:hAnsi="Arial Narrow" w:cs="Calibri"/>
                <w:sz w:val="24"/>
                <w:szCs w:val="24"/>
                <w:lang w:val="es-MX" w:eastAsia="es-ES_tradnl"/>
              </w:rPr>
              <w:t>38.77</w:t>
            </w:r>
          </w:p>
        </w:tc>
      </w:tr>
      <w:tr w:rsidR="00940CBA" w:rsidRPr="00CD728B" w:rsidTr="006C722A">
        <w:trPr>
          <w:trHeight w:val="300"/>
        </w:trPr>
        <w:tc>
          <w:tcPr>
            <w:tcW w:w="5740" w:type="dxa"/>
            <w:shd w:val="clear" w:color="000000" w:fill="FFFFFF"/>
            <w:noWrap/>
            <w:vAlign w:val="center"/>
            <w:hideMark/>
          </w:tcPr>
          <w:p w:rsidR="00940CBA" w:rsidRPr="00CD728B" w:rsidRDefault="00940CBA" w:rsidP="002E7D47">
            <w:pPr>
              <w:spacing w:before="100" w:beforeAutospacing="1" w:after="100" w:afterAutospacing="1" w:line="360" w:lineRule="auto"/>
              <w:contextualSpacing/>
              <w:jc w:val="both"/>
              <w:rPr>
                <w:rFonts w:ascii="Arial Narrow" w:eastAsia="Times New Roman" w:hAnsi="Arial Narrow" w:cs="Calibri"/>
                <w:sz w:val="24"/>
                <w:szCs w:val="24"/>
                <w:lang w:val="es-MX" w:eastAsia="es-ES_tradnl"/>
              </w:rPr>
            </w:pPr>
            <w:r w:rsidRPr="00CD728B">
              <w:rPr>
                <w:rFonts w:ascii="Arial Narrow" w:eastAsia="Times New Roman" w:hAnsi="Arial Narrow" w:cs="Calibri"/>
                <w:sz w:val="24"/>
                <w:szCs w:val="24"/>
                <w:lang w:val="es-MX" w:eastAsia="es-ES_tradnl"/>
              </w:rPr>
              <w:t>Secretaría de Cultura</w:t>
            </w:r>
          </w:p>
        </w:tc>
        <w:tc>
          <w:tcPr>
            <w:tcW w:w="993" w:type="dxa"/>
            <w:shd w:val="clear" w:color="auto" w:fill="C9C9C9" w:themeFill="accent3" w:themeFillTint="99"/>
            <w:noWrap/>
            <w:vAlign w:val="center"/>
            <w:hideMark/>
          </w:tcPr>
          <w:p w:rsidR="00940CBA" w:rsidRPr="00CD728B" w:rsidRDefault="00940CBA" w:rsidP="002E7D47">
            <w:pPr>
              <w:spacing w:before="100" w:beforeAutospacing="1" w:after="100" w:afterAutospacing="1" w:line="360" w:lineRule="auto"/>
              <w:contextualSpacing/>
              <w:jc w:val="both"/>
              <w:rPr>
                <w:rFonts w:ascii="Arial Narrow" w:eastAsia="Times New Roman" w:hAnsi="Arial Narrow" w:cs="Calibri"/>
                <w:sz w:val="24"/>
                <w:szCs w:val="24"/>
                <w:lang w:val="es-MX" w:eastAsia="es-ES_tradnl"/>
              </w:rPr>
            </w:pPr>
            <w:r w:rsidRPr="00CD728B">
              <w:rPr>
                <w:rFonts w:ascii="Arial Narrow" w:eastAsia="Times New Roman" w:hAnsi="Arial Narrow" w:cs="Calibri"/>
                <w:sz w:val="24"/>
                <w:szCs w:val="24"/>
                <w:lang w:val="es-MX" w:eastAsia="es-ES_tradnl"/>
              </w:rPr>
              <w:t>20.18</w:t>
            </w:r>
          </w:p>
        </w:tc>
        <w:tc>
          <w:tcPr>
            <w:tcW w:w="1064" w:type="dxa"/>
            <w:shd w:val="clear" w:color="000000" w:fill="FFFFFF"/>
            <w:noWrap/>
            <w:vAlign w:val="center"/>
            <w:hideMark/>
          </w:tcPr>
          <w:p w:rsidR="00940CBA" w:rsidRPr="00CD728B" w:rsidRDefault="00940CBA" w:rsidP="002E7D47">
            <w:pPr>
              <w:spacing w:before="100" w:beforeAutospacing="1" w:after="100" w:afterAutospacing="1" w:line="360" w:lineRule="auto"/>
              <w:contextualSpacing/>
              <w:jc w:val="both"/>
              <w:rPr>
                <w:rFonts w:ascii="Arial Narrow" w:eastAsia="Times New Roman" w:hAnsi="Arial Narrow" w:cs="Calibri"/>
                <w:sz w:val="24"/>
                <w:szCs w:val="24"/>
                <w:lang w:val="es-MX" w:eastAsia="es-ES_tradnl"/>
              </w:rPr>
            </w:pPr>
            <w:r w:rsidRPr="00CD728B">
              <w:rPr>
                <w:rFonts w:ascii="Arial Narrow" w:eastAsia="Times New Roman" w:hAnsi="Arial Narrow" w:cs="Calibri"/>
                <w:sz w:val="24"/>
                <w:szCs w:val="24"/>
                <w:lang w:val="es-MX" w:eastAsia="es-ES_tradnl"/>
              </w:rPr>
              <w:t>0.00</w:t>
            </w:r>
          </w:p>
        </w:tc>
        <w:tc>
          <w:tcPr>
            <w:tcW w:w="1181" w:type="dxa"/>
            <w:shd w:val="clear" w:color="000000" w:fill="FFFFFF"/>
            <w:noWrap/>
            <w:vAlign w:val="center"/>
            <w:hideMark/>
          </w:tcPr>
          <w:p w:rsidR="00940CBA" w:rsidRPr="00CD728B" w:rsidRDefault="00940CBA" w:rsidP="002E7D47">
            <w:pPr>
              <w:spacing w:before="100" w:beforeAutospacing="1" w:after="100" w:afterAutospacing="1" w:line="360" w:lineRule="auto"/>
              <w:contextualSpacing/>
              <w:jc w:val="both"/>
              <w:rPr>
                <w:rFonts w:ascii="Arial Narrow" w:eastAsia="Times New Roman" w:hAnsi="Arial Narrow" w:cs="Calibri"/>
                <w:sz w:val="24"/>
                <w:szCs w:val="24"/>
                <w:lang w:val="es-MX" w:eastAsia="es-ES_tradnl"/>
              </w:rPr>
            </w:pPr>
            <w:r w:rsidRPr="00CD728B">
              <w:rPr>
                <w:rFonts w:ascii="Arial Narrow" w:eastAsia="Times New Roman" w:hAnsi="Arial Narrow" w:cs="Calibri"/>
                <w:sz w:val="24"/>
                <w:szCs w:val="24"/>
                <w:lang w:val="es-MX" w:eastAsia="es-ES_tradnl"/>
              </w:rPr>
              <w:t>40.37</w:t>
            </w:r>
          </w:p>
        </w:tc>
      </w:tr>
    </w:tbl>
    <w:p w:rsidR="00940CBA" w:rsidRPr="006C722A" w:rsidRDefault="006C722A" w:rsidP="002E7D47">
      <w:pPr>
        <w:spacing w:before="100" w:beforeAutospacing="1" w:after="100" w:afterAutospacing="1" w:line="360" w:lineRule="auto"/>
        <w:contextualSpacing/>
        <w:jc w:val="both"/>
        <w:rPr>
          <w:rFonts w:ascii="Arial Narrow" w:hAnsi="Arial Narrow" w:cs="Arial"/>
          <w:sz w:val="20"/>
          <w:szCs w:val="24"/>
        </w:rPr>
      </w:pPr>
      <w:r w:rsidRPr="006C722A">
        <w:rPr>
          <w:rFonts w:ascii="Arial Narrow" w:hAnsi="Arial Narrow" w:cs="Arial"/>
          <w:b/>
          <w:sz w:val="20"/>
          <w:szCs w:val="24"/>
        </w:rPr>
        <w:t>Nota metodológica</w:t>
      </w:r>
      <w:r w:rsidRPr="006C722A">
        <w:rPr>
          <w:rFonts w:ascii="Arial Narrow" w:hAnsi="Arial Narrow" w:cs="Arial"/>
          <w:sz w:val="20"/>
          <w:szCs w:val="24"/>
        </w:rPr>
        <w:t>: El IGOT se</w:t>
      </w:r>
      <w:r w:rsidR="00623A69">
        <w:rPr>
          <w:rFonts w:ascii="Arial Narrow" w:hAnsi="Arial Narrow" w:cs="Arial"/>
          <w:sz w:val="20"/>
          <w:szCs w:val="24"/>
        </w:rPr>
        <w:t xml:space="preserve"> compone del promedio de ICOT-PT</w:t>
      </w:r>
      <w:r w:rsidRPr="006C722A">
        <w:rPr>
          <w:rFonts w:ascii="Arial Narrow" w:hAnsi="Arial Narrow" w:cs="Arial"/>
          <w:sz w:val="20"/>
          <w:szCs w:val="24"/>
        </w:rPr>
        <w:t xml:space="preserve"> e ICOT-PNT.</w:t>
      </w:r>
    </w:p>
    <w:p w:rsidR="00940CBA" w:rsidRPr="00CD728B" w:rsidRDefault="00940CBA"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 xml:space="preserve">En atención a la Tabla de Aplicabilidad realizada por la Dirección de Estado Abierto, Estudios y Evaluación (DEAEE) del Instituto de Transparencia, Acceso a la Información Pública, Protección de Datos Personales y Rendición de Cuentas de la Ciudad de México (Instituto), las obligaciones que los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de la Administración Pública Central deben actualizar y publicar en el Sistema de Portales de Obligaciones de Transparencia (SIPOT) de la Plataforma Nacional de Transparencia (PNT), así como en sus respectivos portales de internet son las contempladas en los siguientes </w:t>
      </w:r>
      <w:r w:rsidR="009D7771">
        <w:rPr>
          <w:rFonts w:ascii="Arial Narrow" w:hAnsi="Arial Narrow" w:cs="Arial"/>
          <w:sz w:val="24"/>
          <w:szCs w:val="24"/>
        </w:rPr>
        <w:t>Artículo</w:t>
      </w:r>
      <w:r w:rsidRPr="00CD728B">
        <w:rPr>
          <w:rFonts w:ascii="Arial Narrow" w:hAnsi="Arial Narrow" w:cs="Arial"/>
          <w:sz w:val="24"/>
          <w:szCs w:val="24"/>
        </w:rPr>
        <w:t xml:space="preserve">s: </w:t>
      </w:r>
    </w:p>
    <w:p w:rsidR="00940CBA" w:rsidRPr="00CD728B" w:rsidRDefault="009D7771" w:rsidP="002E7D47">
      <w:pPr>
        <w:pStyle w:val="Prrafodelista"/>
        <w:numPr>
          <w:ilvl w:val="0"/>
          <w:numId w:val="1"/>
        </w:numPr>
        <w:spacing w:before="100" w:beforeAutospacing="1" w:after="100" w:afterAutospacing="1" w:line="360" w:lineRule="auto"/>
        <w:jc w:val="both"/>
        <w:rPr>
          <w:rFonts w:ascii="Arial Narrow" w:hAnsi="Arial Narrow" w:cs="Arial"/>
          <w:sz w:val="24"/>
          <w:szCs w:val="24"/>
          <w:lang w:val="es-ES_tradnl"/>
        </w:rPr>
      </w:pPr>
      <w:r>
        <w:rPr>
          <w:rFonts w:ascii="Arial Narrow" w:hAnsi="Arial Narrow" w:cs="Arial"/>
          <w:sz w:val="24"/>
          <w:szCs w:val="24"/>
          <w:lang w:val="es-ES_tradnl"/>
        </w:rPr>
        <w:t>Artículo</w:t>
      </w:r>
      <w:r w:rsidR="00940CBA" w:rsidRPr="00CD728B">
        <w:rPr>
          <w:rFonts w:ascii="Arial Narrow" w:hAnsi="Arial Narrow" w:cs="Arial"/>
          <w:sz w:val="24"/>
          <w:szCs w:val="24"/>
          <w:lang w:val="es-ES_tradnl"/>
        </w:rPr>
        <w:t xml:space="preserve"> 121. Obligaciones comunes, </w:t>
      </w:r>
    </w:p>
    <w:p w:rsidR="00940CBA" w:rsidRPr="00CD728B" w:rsidRDefault="009D7771" w:rsidP="002E7D47">
      <w:pPr>
        <w:pStyle w:val="Prrafodelista"/>
        <w:numPr>
          <w:ilvl w:val="0"/>
          <w:numId w:val="1"/>
        </w:numPr>
        <w:spacing w:before="100" w:beforeAutospacing="1" w:after="100" w:afterAutospacing="1" w:line="360" w:lineRule="auto"/>
        <w:jc w:val="both"/>
        <w:rPr>
          <w:rFonts w:ascii="Arial Narrow" w:hAnsi="Arial Narrow" w:cs="Arial"/>
          <w:sz w:val="24"/>
          <w:szCs w:val="24"/>
          <w:lang w:val="es-ES_tradnl"/>
        </w:rPr>
      </w:pPr>
      <w:r>
        <w:rPr>
          <w:rFonts w:ascii="Arial Narrow" w:hAnsi="Arial Narrow" w:cs="Arial"/>
          <w:sz w:val="24"/>
          <w:szCs w:val="24"/>
          <w:lang w:val="es-ES_tradnl"/>
        </w:rPr>
        <w:lastRenderedPageBreak/>
        <w:t>Artículo</w:t>
      </w:r>
      <w:r w:rsidR="002470B8" w:rsidRPr="00CD728B">
        <w:rPr>
          <w:rFonts w:ascii="Arial Narrow" w:hAnsi="Arial Narrow" w:cs="Arial"/>
          <w:sz w:val="24"/>
          <w:szCs w:val="24"/>
          <w:lang w:val="es-ES_tradnl"/>
        </w:rPr>
        <w:t xml:space="preserve"> 122. </w:t>
      </w:r>
      <w:r w:rsidR="00940CBA" w:rsidRPr="00CD728B">
        <w:rPr>
          <w:rFonts w:ascii="Arial Narrow" w:hAnsi="Arial Narrow" w:cs="Arial"/>
          <w:sz w:val="24"/>
          <w:szCs w:val="24"/>
          <w:lang w:val="es-ES_tradnl"/>
        </w:rPr>
        <w:t xml:space="preserve">Obligaciones comunes que únicamente le son aplicables a la Secretaría de Desarrollo Social, la Secretaría de Medio Ambiente, la Secretaría de Educación, la Secretaría de Desarrollo Rural y Equidad para las Comunidades, la Secretaría de Ciencia, Tecnología e Innovación y la Secretaría de Trabajo y Fomento al Empleo. </w:t>
      </w:r>
    </w:p>
    <w:p w:rsidR="00940CBA" w:rsidRPr="00CD728B" w:rsidRDefault="009D7771" w:rsidP="002E7D47">
      <w:pPr>
        <w:pStyle w:val="Prrafodelista"/>
        <w:numPr>
          <w:ilvl w:val="0"/>
          <w:numId w:val="1"/>
        </w:numPr>
        <w:spacing w:before="100" w:beforeAutospacing="1" w:after="100" w:afterAutospacing="1" w:line="360" w:lineRule="auto"/>
        <w:jc w:val="both"/>
        <w:rPr>
          <w:rFonts w:ascii="Arial Narrow" w:hAnsi="Arial Narrow" w:cs="Arial"/>
          <w:sz w:val="24"/>
          <w:szCs w:val="24"/>
          <w:lang w:val="es-ES_tradnl"/>
        </w:rPr>
      </w:pPr>
      <w:r>
        <w:rPr>
          <w:rFonts w:ascii="Arial Narrow" w:hAnsi="Arial Narrow" w:cs="Arial"/>
          <w:sz w:val="24"/>
          <w:szCs w:val="24"/>
          <w:lang w:val="es-ES_tradnl"/>
        </w:rPr>
        <w:t>Artículo</w:t>
      </w:r>
      <w:r w:rsidR="00940CBA" w:rsidRPr="00CD728B">
        <w:rPr>
          <w:rFonts w:ascii="Arial Narrow" w:hAnsi="Arial Narrow" w:cs="Arial"/>
          <w:sz w:val="24"/>
          <w:szCs w:val="24"/>
          <w:lang w:val="es-ES_tradnl"/>
        </w:rPr>
        <w:t xml:space="preserve"> 123. Obligaciones específicas del Poder Ejecutivo,</w:t>
      </w:r>
    </w:p>
    <w:p w:rsidR="00940CBA" w:rsidRPr="00CD728B" w:rsidRDefault="009D7771" w:rsidP="002E7D47">
      <w:pPr>
        <w:pStyle w:val="Prrafodelista"/>
        <w:numPr>
          <w:ilvl w:val="0"/>
          <w:numId w:val="1"/>
        </w:numPr>
        <w:spacing w:before="100" w:beforeAutospacing="1" w:after="100" w:afterAutospacing="1" w:line="360" w:lineRule="auto"/>
        <w:jc w:val="both"/>
        <w:rPr>
          <w:rFonts w:ascii="Arial Narrow" w:hAnsi="Arial Narrow" w:cs="Arial"/>
          <w:sz w:val="24"/>
          <w:szCs w:val="24"/>
          <w:lang w:val="es-ES_tradnl"/>
        </w:rPr>
      </w:pPr>
      <w:r>
        <w:rPr>
          <w:rFonts w:ascii="Arial Narrow" w:hAnsi="Arial Narrow" w:cs="Arial"/>
          <w:sz w:val="24"/>
          <w:szCs w:val="24"/>
          <w:lang w:val="es-ES_tradnl"/>
        </w:rPr>
        <w:t>Artículo</w:t>
      </w:r>
      <w:r w:rsidR="00940CBA" w:rsidRPr="00CD728B">
        <w:rPr>
          <w:rFonts w:ascii="Arial Narrow" w:hAnsi="Arial Narrow" w:cs="Arial"/>
          <w:sz w:val="24"/>
          <w:szCs w:val="24"/>
          <w:lang w:val="es-ES_tradnl"/>
        </w:rPr>
        <w:t xml:space="preserve"> 143. Disposiciones Particulares,</w:t>
      </w:r>
    </w:p>
    <w:p w:rsidR="00940CBA" w:rsidRPr="00CD728B" w:rsidRDefault="009D7771" w:rsidP="002E7D47">
      <w:pPr>
        <w:pStyle w:val="Prrafodelista"/>
        <w:numPr>
          <w:ilvl w:val="0"/>
          <w:numId w:val="1"/>
        </w:numPr>
        <w:spacing w:before="100" w:beforeAutospacing="1" w:after="100" w:afterAutospacing="1" w:line="360" w:lineRule="auto"/>
        <w:jc w:val="both"/>
        <w:rPr>
          <w:rFonts w:ascii="Arial Narrow" w:hAnsi="Arial Narrow" w:cs="Arial"/>
          <w:sz w:val="24"/>
          <w:szCs w:val="24"/>
          <w:lang w:val="es-ES_tradnl"/>
        </w:rPr>
      </w:pPr>
      <w:r>
        <w:rPr>
          <w:rFonts w:ascii="Arial Narrow" w:hAnsi="Arial Narrow" w:cs="Arial"/>
          <w:sz w:val="24"/>
          <w:szCs w:val="24"/>
          <w:lang w:val="es-ES_tradnl"/>
        </w:rPr>
        <w:t>Artículo</w:t>
      </w:r>
      <w:r w:rsidR="00940CBA" w:rsidRPr="00CD728B">
        <w:rPr>
          <w:rFonts w:ascii="Arial Narrow" w:hAnsi="Arial Narrow" w:cs="Arial"/>
          <w:sz w:val="24"/>
          <w:szCs w:val="24"/>
          <w:lang w:val="es-ES_tradnl"/>
        </w:rPr>
        <w:t xml:space="preserve"> 145. Disposiciones Particulares,</w:t>
      </w:r>
    </w:p>
    <w:p w:rsidR="00940CBA" w:rsidRPr="00CD728B" w:rsidRDefault="009D7771" w:rsidP="002E7D47">
      <w:pPr>
        <w:pStyle w:val="Prrafodelista"/>
        <w:numPr>
          <w:ilvl w:val="0"/>
          <w:numId w:val="1"/>
        </w:numPr>
        <w:spacing w:before="100" w:beforeAutospacing="1" w:after="100" w:afterAutospacing="1" w:line="360" w:lineRule="auto"/>
        <w:jc w:val="both"/>
        <w:rPr>
          <w:rFonts w:ascii="Arial Narrow" w:hAnsi="Arial Narrow" w:cs="Arial"/>
          <w:sz w:val="24"/>
          <w:szCs w:val="24"/>
          <w:lang w:val="es-ES_tradnl"/>
        </w:rPr>
      </w:pPr>
      <w:r>
        <w:rPr>
          <w:rFonts w:ascii="Arial Narrow" w:hAnsi="Arial Narrow" w:cs="Arial"/>
          <w:sz w:val="24"/>
          <w:szCs w:val="24"/>
          <w:lang w:val="es-ES_tradnl"/>
        </w:rPr>
        <w:t>Artículo</w:t>
      </w:r>
      <w:r w:rsidR="00940CBA" w:rsidRPr="00CD728B">
        <w:rPr>
          <w:rFonts w:ascii="Arial Narrow" w:hAnsi="Arial Narrow" w:cs="Arial"/>
          <w:sz w:val="24"/>
          <w:szCs w:val="24"/>
          <w:lang w:val="es-ES_tradnl"/>
        </w:rPr>
        <w:t xml:space="preserve"> 146. Disposiciones Particulares, y </w:t>
      </w:r>
    </w:p>
    <w:p w:rsidR="00940CBA" w:rsidRPr="00CD728B" w:rsidRDefault="009D7771" w:rsidP="002E7D47">
      <w:pPr>
        <w:pStyle w:val="Prrafodelista"/>
        <w:numPr>
          <w:ilvl w:val="0"/>
          <w:numId w:val="1"/>
        </w:numPr>
        <w:spacing w:before="100" w:beforeAutospacing="1" w:after="100" w:afterAutospacing="1" w:line="360" w:lineRule="auto"/>
        <w:jc w:val="both"/>
        <w:rPr>
          <w:rFonts w:ascii="Arial Narrow" w:hAnsi="Arial Narrow" w:cs="Arial"/>
          <w:sz w:val="24"/>
          <w:szCs w:val="24"/>
          <w:lang w:val="es-ES_tradnl"/>
        </w:rPr>
      </w:pPr>
      <w:r>
        <w:rPr>
          <w:rFonts w:ascii="Arial Narrow" w:hAnsi="Arial Narrow" w:cs="Arial"/>
          <w:sz w:val="24"/>
          <w:szCs w:val="24"/>
          <w:lang w:val="es-ES_tradnl"/>
        </w:rPr>
        <w:t>Artículo</w:t>
      </w:r>
      <w:r w:rsidR="00940CBA" w:rsidRPr="00CD728B">
        <w:rPr>
          <w:rFonts w:ascii="Arial Narrow" w:hAnsi="Arial Narrow" w:cs="Arial"/>
          <w:sz w:val="24"/>
          <w:szCs w:val="24"/>
          <w:lang w:val="es-ES_tradnl"/>
        </w:rPr>
        <w:t xml:space="preserve"> 147. Disposiciones Particulares.</w:t>
      </w:r>
    </w:p>
    <w:p w:rsidR="00940CBA" w:rsidRPr="00CD728B" w:rsidRDefault="00940CBA" w:rsidP="002E7D47">
      <w:pPr>
        <w:pStyle w:val="Ttulo3"/>
        <w:numPr>
          <w:ilvl w:val="2"/>
          <w:numId w:val="15"/>
        </w:numPr>
        <w:contextualSpacing/>
        <w:jc w:val="both"/>
        <w:rPr>
          <w:rFonts w:ascii="Arial Narrow" w:hAnsi="Arial Narrow"/>
          <w:b/>
          <w:color w:val="auto"/>
        </w:rPr>
      </w:pPr>
      <w:bookmarkStart w:id="12" w:name="_Toc14293713"/>
      <w:r w:rsidRPr="00CD728B">
        <w:rPr>
          <w:rFonts w:ascii="Arial Narrow" w:hAnsi="Arial Narrow"/>
          <w:b/>
          <w:color w:val="auto"/>
        </w:rPr>
        <w:t>Análisis global de cumplimiento de la Administración Central</w:t>
      </w:r>
      <w:bookmarkEnd w:id="12"/>
      <w:r w:rsidRPr="00CD728B">
        <w:rPr>
          <w:rFonts w:ascii="Arial Narrow" w:hAnsi="Arial Narrow"/>
          <w:b/>
          <w:color w:val="auto"/>
        </w:rPr>
        <w:t xml:space="preserve"> </w:t>
      </w:r>
    </w:p>
    <w:p w:rsidR="00940CBA" w:rsidRPr="00CD728B" w:rsidRDefault="00940CBA" w:rsidP="002E7D47">
      <w:pPr>
        <w:spacing w:before="100" w:beforeAutospacing="1" w:after="100" w:afterAutospacing="1" w:line="360" w:lineRule="auto"/>
        <w:contextualSpacing/>
        <w:jc w:val="both"/>
        <w:rPr>
          <w:rFonts w:ascii="Arial Narrow" w:hAnsi="Arial Narrow" w:cs="Arial"/>
          <w:sz w:val="24"/>
          <w:szCs w:val="24"/>
          <w:u w:val="single"/>
        </w:rPr>
      </w:pPr>
      <w:r w:rsidRPr="00CD728B">
        <w:rPr>
          <w:rFonts w:ascii="Arial Narrow" w:hAnsi="Arial Narrow" w:cs="Arial"/>
          <w:sz w:val="24"/>
          <w:szCs w:val="24"/>
          <w:u w:val="single"/>
        </w:rPr>
        <w:t xml:space="preserve">Índices Globales de Cumplimiento de las Obligaciones de Transparencia </w:t>
      </w:r>
    </w:p>
    <w:p w:rsidR="002E7D47" w:rsidRPr="00CD728B" w:rsidRDefault="002E7D47" w:rsidP="002E7D47">
      <w:pPr>
        <w:spacing w:before="100" w:beforeAutospacing="1" w:after="100" w:afterAutospacing="1" w:line="360" w:lineRule="auto"/>
        <w:contextualSpacing/>
        <w:jc w:val="both"/>
        <w:rPr>
          <w:rFonts w:ascii="Arial Narrow" w:hAnsi="Arial Narrow" w:cs="Arial"/>
          <w:sz w:val="24"/>
          <w:szCs w:val="24"/>
          <w:u w:val="single"/>
        </w:rPr>
      </w:pPr>
    </w:p>
    <w:p w:rsidR="00940CBA" w:rsidRPr="00CD728B" w:rsidRDefault="00940CBA"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Con relación al Índice Global de Cumplimiento de las Obligaciones de Transparencia (IGOT), la calificación más alta fue de 100 y las más baja de 20; obteniendo este ámbito de gobierno una calificación promedio de 80.13.</w:t>
      </w:r>
    </w:p>
    <w:p w:rsidR="002E7D47" w:rsidRPr="00CD728B" w:rsidRDefault="002E7D47" w:rsidP="002E7D47">
      <w:pPr>
        <w:spacing w:before="100" w:beforeAutospacing="1" w:after="100" w:afterAutospacing="1" w:line="360" w:lineRule="auto"/>
        <w:contextualSpacing/>
        <w:jc w:val="both"/>
        <w:rPr>
          <w:rFonts w:ascii="Arial Narrow" w:hAnsi="Arial Narrow" w:cs="Arial"/>
          <w:sz w:val="24"/>
          <w:szCs w:val="24"/>
        </w:rPr>
      </w:pPr>
    </w:p>
    <w:p w:rsidR="00940CBA" w:rsidRPr="00CD728B" w:rsidRDefault="00940CBA"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Únicamente la Secretaría de Finanzas y la Secretaría de Desarrollo Social</w:t>
      </w:r>
      <w:r w:rsidRPr="00CD728B">
        <w:rPr>
          <w:rStyle w:val="Refdenotaalpie"/>
          <w:rFonts w:ascii="Arial Narrow" w:hAnsi="Arial Narrow" w:cs="Arial"/>
          <w:sz w:val="24"/>
          <w:szCs w:val="24"/>
          <w:vertAlign w:val="baseline"/>
        </w:rPr>
        <w:t xml:space="preserve"> </w:t>
      </w:r>
      <w:r w:rsidRPr="00CD728B">
        <w:rPr>
          <w:rFonts w:ascii="Arial Narrow" w:hAnsi="Arial Narrow" w:cs="Arial"/>
          <w:sz w:val="24"/>
          <w:szCs w:val="24"/>
        </w:rPr>
        <w:t>alcanzaron una calificación de 100 en el IGOT, 14</w:t>
      </w:r>
      <w:r w:rsidRPr="00CD728B">
        <w:rPr>
          <w:rStyle w:val="Refdenotaalpie"/>
          <w:rFonts w:ascii="Arial Narrow" w:hAnsi="Arial Narrow" w:cs="Arial"/>
          <w:sz w:val="24"/>
          <w:szCs w:val="24"/>
        </w:rPr>
        <w:footnoteReference w:id="1"/>
      </w:r>
      <w:r w:rsidRPr="00CD728B">
        <w:rPr>
          <w:rFonts w:ascii="Arial Narrow" w:hAnsi="Arial Narrow" w:cs="Arial"/>
          <w:sz w:val="24"/>
          <w:szCs w:val="24"/>
        </w:rPr>
        <w:t xml:space="preserve">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cumplieron parcialmente obteniendo entre 76 y 99; cuatro</w:t>
      </w:r>
      <w:r w:rsidRPr="00CD728B">
        <w:rPr>
          <w:rStyle w:val="Refdenotaalpie"/>
          <w:rFonts w:ascii="Arial Narrow" w:hAnsi="Arial Narrow" w:cs="Arial"/>
          <w:sz w:val="24"/>
          <w:szCs w:val="24"/>
        </w:rPr>
        <w:footnoteReference w:id="2"/>
      </w:r>
      <w:r w:rsidRPr="00CD728B">
        <w:rPr>
          <w:rFonts w:ascii="Arial Narrow" w:hAnsi="Arial Narrow" w:cs="Arial"/>
          <w:sz w:val="24"/>
          <w:szCs w:val="24"/>
        </w:rPr>
        <w:t xml:space="preserve"> cumplieron parcialmente obteniendo entre 51 y 75; la Procuraduría General de Justicia del Distrito Federal y la Secretaría de Trabajo y Fomento al Empleo incumplieron parcialmente obteniendo 26 y 50, y la Secretaría de Cultura</w:t>
      </w:r>
      <w:r w:rsidRPr="00CD728B">
        <w:rPr>
          <w:rStyle w:val="Refdenotaalpie"/>
          <w:rFonts w:ascii="Arial Narrow" w:hAnsi="Arial Narrow" w:cs="Arial"/>
          <w:sz w:val="24"/>
          <w:szCs w:val="24"/>
          <w:vertAlign w:val="baseline"/>
        </w:rPr>
        <w:t xml:space="preserve"> </w:t>
      </w:r>
      <w:r w:rsidRPr="00CD728B">
        <w:rPr>
          <w:rFonts w:ascii="Arial Narrow" w:hAnsi="Arial Narrow" w:cs="Arial"/>
          <w:sz w:val="24"/>
          <w:szCs w:val="24"/>
        </w:rPr>
        <w:t xml:space="preserve"> incumplió parcialmente con una calificación entre uno y 25.</w:t>
      </w:r>
    </w:p>
    <w:p w:rsidR="002E7D47" w:rsidRPr="00CD728B" w:rsidRDefault="002E7D47" w:rsidP="002E7D47">
      <w:pPr>
        <w:spacing w:before="100" w:beforeAutospacing="1" w:after="100" w:afterAutospacing="1" w:line="360" w:lineRule="auto"/>
        <w:contextualSpacing/>
        <w:jc w:val="both"/>
        <w:rPr>
          <w:rFonts w:ascii="Arial Narrow" w:hAnsi="Arial Narrow" w:cs="Arial"/>
          <w:sz w:val="24"/>
          <w:szCs w:val="24"/>
        </w:rPr>
      </w:pPr>
    </w:p>
    <w:p w:rsidR="002E7D47" w:rsidRPr="00CD728B" w:rsidRDefault="002470B8"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lastRenderedPageBreak/>
        <w:t>En éste</w:t>
      </w:r>
      <w:r w:rsidR="00940CBA" w:rsidRPr="00CD728B">
        <w:rPr>
          <w:rFonts w:ascii="Arial Narrow" w:hAnsi="Arial Narrow" w:cs="Arial"/>
          <w:sz w:val="24"/>
          <w:szCs w:val="24"/>
        </w:rPr>
        <w:t xml:space="preserve"> ámbito de gobierno existe un grado de cumplimiento promedio de 80.13% en lo que respecta a la publicación general de la información, 82.51% sobre la publicación de información en la Plataforma Nacional de Transparencia (PNT) y un 77.74% en los portales institucionales de los </w:t>
      </w:r>
      <w:r w:rsidR="003C3757" w:rsidRPr="00CD728B">
        <w:rPr>
          <w:rFonts w:ascii="Arial Narrow" w:hAnsi="Arial Narrow" w:cs="Arial"/>
          <w:sz w:val="24"/>
          <w:szCs w:val="24"/>
        </w:rPr>
        <w:t>Sujetos Obligados</w:t>
      </w:r>
      <w:r w:rsidR="00940CBA" w:rsidRPr="00CD728B">
        <w:rPr>
          <w:rFonts w:ascii="Arial Narrow" w:hAnsi="Arial Narrow" w:cs="Arial"/>
          <w:sz w:val="24"/>
          <w:szCs w:val="24"/>
        </w:rPr>
        <w:t xml:space="preserve">. </w:t>
      </w:r>
    </w:p>
    <w:p w:rsidR="002E7D47" w:rsidRPr="00CD728B" w:rsidRDefault="002E7D47" w:rsidP="002E7D47">
      <w:pPr>
        <w:spacing w:before="100" w:beforeAutospacing="1" w:after="100" w:afterAutospacing="1" w:line="360" w:lineRule="auto"/>
        <w:contextualSpacing/>
        <w:jc w:val="both"/>
        <w:rPr>
          <w:rFonts w:ascii="Arial Narrow" w:hAnsi="Arial Narrow" w:cs="Arial"/>
          <w:sz w:val="24"/>
          <w:szCs w:val="24"/>
        </w:rPr>
      </w:pPr>
    </w:p>
    <w:p w:rsidR="00940CBA" w:rsidRPr="00CD728B" w:rsidRDefault="00940CBA" w:rsidP="002E7D47">
      <w:pPr>
        <w:spacing w:before="100" w:beforeAutospacing="1" w:after="100" w:afterAutospacing="1" w:line="360" w:lineRule="auto"/>
        <w:contextualSpacing/>
        <w:jc w:val="both"/>
        <w:rPr>
          <w:rFonts w:ascii="Arial Narrow" w:hAnsi="Arial Narrow" w:cs="Arial"/>
          <w:sz w:val="24"/>
          <w:szCs w:val="24"/>
          <w:u w:val="single"/>
        </w:rPr>
      </w:pPr>
      <w:r w:rsidRPr="00CD728B">
        <w:rPr>
          <w:rFonts w:ascii="Arial Narrow" w:hAnsi="Arial Narrow" w:cs="Arial"/>
          <w:sz w:val="24"/>
          <w:szCs w:val="24"/>
          <w:u w:val="single"/>
        </w:rPr>
        <w:t xml:space="preserve">Cumplimiento diferenciado por </w:t>
      </w:r>
      <w:r w:rsidR="009D7771">
        <w:rPr>
          <w:rFonts w:ascii="Arial Narrow" w:hAnsi="Arial Narrow" w:cs="Arial"/>
          <w:sz w:val="24"/>
          <w:szCs w:val="24"/>
          <w:u w:val="single"/>
        </w:rPr>
        <w:t>Artículo</w:t>
      </w:r>
      <w:r w:rsidRPr="00CD728B">
        <w:rPr>
          <w:rFonts w:ascii="Arial Narrow" w:hAnsi="Arial Narrow" w:cs="Arial"/>
          <w:sz w:val="24"/>
          <w:szCs w:val="24"/>
          <w:u w:val="single"/>
        </w:rPr>
        <w:t xml:space="preserve">s </w:t>
      </w:r>
    </w:p>
    <w:p w:rsidR="002E7D47" w:rsidRPr="00CD728B" w:rsidRDefault="002E7D47" w:rsidP="002E7D47">
      <w:pPr>
        <w:spacing w:before="100" w:beforeAutospacing="1" w:after="100" w:afterAutospacing="1" w:line="360" w:lineRule="auto"/>
        <w:contextualSpacing/>
        <w:jc w:val="both"/>
        <w:rPr>
          <w:rFonts w:ascii="Arial Narrow" w:hAnsi="Arial Narrow" w:cs="Arial"/>
          <w:sz w:val="24"/>
          <w:szCs w:val="24"/>
        </w:rPr>
      </w:pPr>
    </w:p>
    <w:p w:rsidR="00940CBA" w:rsidRPr="00CD728B" w:rsidRDefault="00940CBA"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Con relación al tipo de obligaciones de transparencias, este ámbito de gobierno ha cumplido parcialmente en la publicación y actualización de sus obligaciones comunes, específicas y disposiciones particulares; obteniendo en las tres un promedio de cumplimiento entre el 76% y 88%.</w:t>
      </w:r>
    </w:p>
    <w:p w:rsidR="00940CBA" w:rsidRPr="00CD728B" w:rsidRDefault="00940CBA"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 xml:space="preserve">En esta misma línea, el </w:t>
      </w:r>
      <w:r w:rsidR="009D7771">
        <w:rPr>
          <w:rFonts w:ascii="Arial Narrow" w:hAnsi="Arial Narrow" w:cs="Arial"/>
          <w:sz w:val="24"/>
          <w:szCs w:val="24"/>
        </w:rPr>
        <w:t>Artículo</w:t>
      </w:r>
      <w:r w:rsidRPr="00CD728B">
        <w:rPr>
          <w:rFonts w:ascii="Arial Narrow" w:hAnsi="Arial Narrow" w:cs="Arial"/>
          <w:sz w:val="24"/>
          <w:szCs w:val="24"/>
        </w:rPr>
        <w:t xml:space="preserve"> 145 tuvo un Índice de Cumplimiento Promedio (ICP) de 97.55%, el 122 de 92.9%, el 143 de 85.54%, el 123 de 81.76%, el 121 alcanzó un 80.39%, el 147 un 76.3%. Por último, el 146 incumplió parcialmente con un ICP de 47.3%. </w:t>
      </w:r>
    </w:p>
    <w:p w:rsidR="002E7D47" w:rsidRPr="00CD728B" w:rsidRDefault="002E7D47" w:rsidP="002E7D47">
      <w:pPr>
        <w:spacing w:before="100" w:beforeAutospacing="1" w:after="100" w:afterAutospacing="1" w:line="360" w:lineRule="auto"/>
        <w:contextualSpacing/>
        <w:jc w:val="both"/>
        <w:rPr>
          <w:rFonts w:ascii="Arial Narrow" w:hAnsi="Arial Narrow" w:cs="Arial"/>
          <w:sz w:val="24"/>
          <w:szCs w:val="24"/>
        </w:rPr>
      </w:pPr>
    </w:p>
    <w:p w:rsidR="00940CBA" w:rsidRPr="00CD728B" w:rsidRDefault="00940CBA" w:rsidP="002E7D47">
      <w:pPr>
        <w:pStyle w:val="Ttulo3"/>
        <w:numPr>
          <w:ilvl w:val="2"/>
          <w:numId w:val="15"/>
        </w:numPr>
        <w:contextualSpacing/>
        <w:jc w:val="both"/>
        <w:rPr>
          <w:rFonts w:ascii="Arial Narrow" w:hAnsi="Arial Narrow"/>
          <w:b/>
          <w:color w:val="auto"/>
        </w:rPr>
      </w:pPr>
      <w:bookmarkStart w:id="13" w:name="_Toc14293714"/>
      <w:r w:rsidRPr="00CD728B">
        <w:rPr>
          <w:rFonts w:ascii="Arial Narrow" w:hAnsi="Arial Narrow"/>
          <w:b/>
          <w:color w:val="auto"/>
        </w:rPr>
        <w:t xml:space="preserve">Análisis del </w:t>
      </w:r>
      <w:r w:rsidR="009D7771">
        <w:rPr>
          <w:rFonts w:ascii="Arial Narrow" w:hAnsi="Arial Narrow"/>
          <w:b/>
          <w:color w:val="auto"/>
        </w:rPr>
        <w:t>Artículo</w:t>
      </w:r>
      <w:r w:rsidRPr="00CD728B">
        <w:rPr>
          <w:rFonts w:ascii="Arial Narrow" w:hAnsi="Arial Narrow"/>
          <w:b/>
          <w:color w:val="auto"/>
        </w:rPr>
        <w:t xml:space="preserve"> 121 y sus respectivas fracciones</w:t>
      </w:r>
      <w:bookmarkEnd w:id="13"/>
    </w:p>
    <w:p w:rsidR="002E7D47" w:rsidRPr="00CD728B" w:rsidRDefault="002E7D47" w:rsidP="002E7D47">
      <w:pPr>
        <w:rPr>
          <w:rFonts w:ascii="Arial Narrow" w:hAnsi="Arial Narrow"/>
        </w:rPr>
      </w:pPr>
    </w:p>
    <w:p w:rsidR="00940CBA" w:rsidRPr="00CD728B" w:rsidRDefault="00940CBA" w:rsidP="002E7D47">
      <w:pPr>
        <w:autoSpaceDE w:val="0"/>
        <w:autoSpaceDN w:val="0"/>
        <w:adjustRightInd w:val="0"/>
        <w:spacing w:after="0" w:line="360" w:lineRule="auto"/>
        <w:contextualSpacing/>
        <w:jc w:val="both"/>
        <w:rPr>
          <w:rFonts w:ascii="Arial Narrow" w:hAnsi="Arial Narrow" w:cs="Arial"/>
          <w:sz w:val="24"/>
          <w:szCs w:val="24"/>
        </w:rPr>
      </w:pPr>
      <w:r w:rsidRPr="00CD728B">
        <w:rPr>
          <w:rFonts w:ascii="Arial Narrow" w:hAnsi="Arial Narrow" w:cs="Arial"/>
          <w:noProof/>
          <w:sz w:val="24"/>
          <w:szCs w:val="24"/>
          <w:lang w:val="es-MX" w:eastAsia="es-MX"/>
        </w:rPr>
        <w:drawing>
          <wp:inline distT="0" distB="0" distL="0" distR="0" wp14:anchorId="5B96FAF7" wp14:editId="4A26B7D0">
            <wp:extent cx="5612130" cy="2839984"/>
            <wp:effectExtent l="0" t="0" r="762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19-07-02 at 12.49.33 PM.jpeg"/>
                    <pic:cNvPicPr/>
                  </pic:nvPicPr>
                  <pic:blipFill>
                    <a:blip r:embed="rId8">
                      <a:extLst>
                        <a:ext uri="{28A0092B-C50C-407E-A947-70E740481C1C}">
                          <a14:useLocalDpi xmlns:a14="http://schemas.microsoft.com/office/drawing/2010/main" val="0"/>
                        </a:ext>
                      </a:extLst>
                    </a:blip>
                    <a:stretch>
                      <a:fillRect/>
                    </a:stretch>
                  </pic:blipFill>
                  <pic:spPr>
                    <a:xfrm>
                      <a:off x="0" y="0"/>
                      <a:ext cx="5612130" cy="2839984"/>
                    </a:xfrm>
                    <a:prstGeom prst="rect">
                      <a:avLst/>
                    </a:prstGeom>
                  </pic:spPr>
                </pic:pic>
              </a:graphicData>
            </a:graphic>
          </wp:inline>
        </w:drawing>
      </w:r>
    </w:p>
    <w:p w:rsidR="002E7D47" w:rsidRPr="00CD728B" w:rsidRDefault="002E7D47" w:rsidP="002E7D47">
      <w:pPr>
        <w:spacing w:before="100" w:beforeAutospacing="1" w:after="100" w:afterAutospacing="1" w:line="360" w:lineRule="auto"/>
        <w:contextualSpacing/>
        <w:jc w:val="both"/>
        <w:rPr>
          <w:rFonts w:ascii="Arial Narrow" w:hAnsi="Arial Narrow" w:cs="Arial"/>
          <w:sz w:val="24"/>
          <w:szCs w:val="24"/>
        </w:rPr>
      </w:pPr>
    </w:p>
    <w:p w:rsidR="00940CBA" w:rsidRPr="00CD728B" w:rsidRDefault="00940CBA"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 xml:space="preserve">Los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de la Administración Central obtuvieron un ICP de 80.40%; por lo que se encuentra</w:t>
      </w:r>
      <w:r w:rsidR="00BB08F8" w:rsidRPr="00CD728B">
        <w:rPr>
          <w:rFonts w:ascii="Arial Narrow" w:hAnsi="Arial Narrow" w:cs="Arial"/>
          <w:sz w:val="24"/>
          <w:szCs w:val="24"/>
        </w:rPr>
        <w:t>n</w:t>
      </w:r>
      <w:r w:rsidRPr="00CD728B">
        <w:rPr>
          <w:rFonts w:ascii="Arial Narrow" w:hAnsi="Arial Narrow" w:cs="Arial"/>
          <w:sz w:val="24"/>
          <w:szCs w:val="24"/>
        </w:rPr>
        <w:t xml:space="preserve"> dentro del área de cumplimiento parcial. Lo anterior se debe a que solo la Secretaría de Desarrollo Social y </w:t>
      </w:r>
      <w:r w:rsidR="00BB08F8" w:rsidRPr="00CD728B">
        <w:rPr>
          <w:rFonts w:ascii="Arial Narrow" w:hAnsi="Arial Narrow" w:cs="Arial"/>
          <w:sz w:val="24"/>
          <w:szCs w:val="24"/>
        </w:rPr>
        <w:t xml:space="preserve">la </w:t>
      </w:r>
      <w:r w:rsidRPr="00CD728B">
        <w:rPr>
          <w:rFonts w:ascii="Arial Narrow" w:hAnsi="Arial Narrow" w:cs="Arial"/>
          <w:sz w:val="24"/>
          <w:szCs w:val="24"/>
        </w:rPr>
        <w:t xml:space="preserve">Secretaría de Gobierno cumplieron totalmente con lo establecido por este </w:t>
      </w:r>
      <w:r w:rsidR="009D7771">
        <w:rPr>
          <w:rFonts w:ascii="Arial Narrow" w:hAnsi="Arial Narrow" w:cs="Arial"/>
          <w:sz w:val="24"/>
          <w:szCs w:val="24"/>
        </w:rPr>
        <w:t>Artículo</w:t>
      </w:r>
      <w:r w:rsidRPr="00CD728B">
        <w:rPr>
          <w:rFonts w:ascii="Arial Narrow" w:hAnsi="Arial Narrow" w:cs="Arial"/>
          <w:sz w:val="24"/>
          <w:szCs w:val="24"/>
        </w:rPr>
        <w:t>, 17</w:t>
      </w:r>
      <w:r w:rsidRPr="00CD728B">
        <w:rPr>
          <w:rStyle w:val="Refdenotaalpie"/>
          <w:rFonts w:ascii="Arial Narrow" w:hAnsi="Arial Narrow" w:cs="Arial"/>
          <w:sz w:val="24"/>
          <w:szCs w:val="24"/>
        </w:rPr>
        <w:footnoteReference w:id="3"/>
      </w:r>
      <w:r w:rsidRPr="00CD728B">
        <w:rPr>
          <w:rFonts w:ascii="Arial Narrow" w:hAnsi="Arial Narrow" w:cs="Arial"/>
          <w:sz w:val="24"/>
          <w:szCs w:val="24"/>
        </w:rPr>
        <w:t xml:space="preserve">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cumplieron parcialmente y cuatro</w:t>
      </w:r>
      <w:r w:rsidRPr="00CD728B">
        <w:rPr>
          <w:rStyle w:val="Refdenotaalpie"/>
          <w:rFonts w:ascii="Arial Narrow" w:hAnsi="Arial Narrow" w:cs="Arial"/>
          <w:sz w:val="24"/>
          <w:szCs w:val="24"/>
        </w:rPr>
        <w:footnoteReference w:id="4"/>
      </w:r>
      <w:r w:rsidRPr="00CD728B">
        <w:rPr>
          <w:rFonts w:ascii="Arial Narrow" w:hAnsi="Arial Narrow" w:cs="Arial"/>
          <w:sz w:val="24"/>
          <w:szCs w:val="24"/>
        </w:rPr>
        <w:t xml:space="preserve"> incumplieron parcialmente. En esta línea, las siete fracciones que tienen mayor área de oportunidad son las siguientes: </w:t>
      </w:r>
    </w:p>
    <w:p w:rsidR="00940CBA" w:rsidRPr="00CD728B" w:rsidRDefault="00940CBA" w:rsidP="002E7D47">
      <w:pPr>
        <w:pStyle w:val="Prrafodelista"/>
        <w:numPr>
          <w:ilvl w:val="0"/>
          <w:numId w:val="2"/>
        </w:numPr>
        <w:spacing w:before="100" w:beforeAutospacing="1" w:after="100" w:afterAutospacing="1" w:line="360" w:lineRule="auto"/>
        <w:jc w:val="both"/>
        <w:rPr>
          <w:rFonts w:ascii="Arial Narrow" w:hAnsi="Arial Narrow" w:cs="Arial"/>
          <w:sz w:val="24"/>
          <w:szCs w:val="24"/>
        </w:rPr>
      </w:pPr>
      <w:r w:rsidRPr="00CD728B">
        <w:rPr>
          <w:rFonts w:ascii="Arial Narrow" w:hAnsi="Arial Narrow" w:cs="Arial"/>
          <w:sz w:val="24"/>
          <w:szCs w:val="24"/>
        </w:rPr>
        <w:t>Fracción LII, con un ICP de 75.72% en la cual se solicita publicar cualquier otra información que sea de utilidad o se considere relevante para el conocimiento y evaluación de las funciones y políticas públic</w:t>
      </w:r>
      <w:r w:rsidR="00BB08F8" w:rsidRPr="00CD728B">
        <w:rPr>
          <w:rFonts w:ascii="Arial Narrow" w:hAnsi="Arial Narrow" w:cs="Arial"/>
          <w:sz w:val="24"/>
          <w:szCs w:val="24"/>
        </w:rPr>
        <w:t>as que son responsabilidad del Sujeto O</w:t>
      </w:r>
      <w:r w:rsidRPr="00CD728B">
        <w:rPr>
          <w:rFonts w:ascii="Arial Narrow" w:hAnsi="Arial Narrow" w:cs="Arial"/>
          <w:sz w:val="24"/>
          <w:szCs w:val="24"/>
        </w:rPr>
        <w:t xml:space="preserve">bligado además de las que, con base en la información estadística, respondan a las preguntas hechas con más frecuencia por el público. Los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no actualizaron la información conforme indica la normatividad vigente; por lo que no se puede consultar. </w:t>
      </w:r>
    </w:p>
    <w:p w:rsidR="002E7D47" w:rsidRPr="00CD728B" w:rsidRDefault="002E7D47" w:rsidP="002E7D47">
      <w:pPr>
        <w:pStyle w:val="Prrafodelista"/>
        <w:spacing w:before="100" w:beforeAutospacing="1" w:after="100" w:afterAutospacing="1" w:line="360" w:lineRule="auto"/>
        <w:jc w:val="both"/>
        <w:rPr>
          <w:rFonts w:ascii="Arial Narrow" w:hAnsi="Arial Narrow" w:cs="Arial"/>
          <w:sz w:val="24"/>
          <w:szCs w:val="24"/>
        </w:rPr>
      </w:pPr>
    </w:p>
    <w:p w:rsidR="002E7D47" w:rsidRPr="00CD728B" w:rsidRDefault="00940CBA" w:rsidP="00EE5F08">
      <w:pPr>
        <w:pStyle w:val="Prrafodelista"/>
        <w:numPr>
          <w:ilvl w:val="0"/>
          <w:numId w:val="2"/>
        </w:numPr>
        <w:spacing w:before="100" w:beforeAutospacing="1" w:after="100" w:afterAutospacing="1" w:line="360" w:lineRule="auto"/>
        <w:jc w:val="both"/>
        <w:rPr>
          <w:rFonts w:ascii="Arial Narrow" w:hAnsi="Arial Narrow" w:cs="Arial"/>
          <w:sz w:val="24"/>
          <w:szCs w:val="24"/>
        </w:rPr>
      </w:pPr>
      <w:r w:rsidRPr="00CD728B">
        <w:rPr>
          <w:rFonts w:ascii="Arial Narrow" w:hAnsi="Arial Narrow" w:cs="Arial"/>
          <w:sz w:val="24"/>
          <w:szCs w:val="24"/>
        </w:rPr>
        <w:t xml:space="preserve">Fracción LIII, con un ICP de 76.36% en la que se establece publicar la ubicación de todas las obras públicas, señalando el sector al que pertenecen monto asignado y ejercicio. Los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de la Administración Central no publicaron la información concerniente al cuarto trimestre del año 2018; asimismo, en algunos casos argumentan que no se generó información o que no le es aplicable la fracción sin realizar la debida fundamentación y motivación en los campos correspondientes. </w:t>
      </w:r>
    </w:p>
    <w:p w:rsidR="002E7D47" w:rsidRPr="00CD728B" w:rsidRDefault="002E7D47" w:rsidP="002E7D47">
      <w:pPr>
        <w:pStyle w:val="Prrafodelista"/>
        <w:spacing w:before="100" w:beforeAutospacing="1" w:after="100" w:afterAutospacing="1" w:line="360" w:lineRule="auto"/>
        <w:jc w:val="both"/>
        <w:rPr>
          <w:rFonts w:ascii="Arial Narrow" w:hAnsi="Arial Narrow" w:cs="Arial"/>
          <w:sz w:val="24"/>
          <w:szCs w:val="24"/>
        </w:rPr>
      </w:pPr>
    </w:p>
    <w:p w:rsidR="00940CBA" w:rsidRPr="00CD728B" w:rsidRDefault="00940CBA" w:rsidP="002E7D47">
      <w:pPr>
        <w:pStyle w:val="Prrafodelista"/>
        <w:numPr>
          <w:ilvl w:val="0"/>
          <w:numId w:val="2"/>
        </w:numPr>
        <w:spacing w:before="100" w:beforeAutospacing="1" w:after="100" w:afterAutospacing="1" w:line="360" w:lineRule="auto"/>
        <w:jc w:val="both"/>
        <w:rPr>
          <w:rFonts w:ascii="Arial Narrow" w:hAnsi="Arial Narrow" w:cs="Arial"/>
          <w:sz w:val="24"/>
          <w:szCs w:val="24"/>
        </w:rPr>
      </w:pPr>
      <w:r w:rsidRPr="00CD728B">
        <w:rPr>
          <w:rFonts w:ascii="Arial Narrow" w:hAnsi="Arial Narrow" w:cs="Arial"/>
          <w:sz w:val="24"/>
          <w:szCs w:val="24"/>
        </w:rPr>
        <w:lastRenderedPageBreak/>
        <w:t xml:space="preserve">Fracción I, con un ICP de 77.26% consistente en la publicación del marco normativo aplicable al </w:t>
      </w:r>
      <w:r w:rsidR="005A4A11" w:rsidRPr="00CD728B">
        <w:rPr>
          <w:rFonts w:ascii="Arial Narrow" w:hAnsi="Arial Narrow" w:cs="Arial"/>
          <w:sz w:val="24"/>
          <w:szCs w:val="24"/>
        </w:rPr>
        <w:t>Sujeto Obligado</w:t>
      </w:r>
      <w:r w:rsidRPr="00CD728B">
        <w:rPr>
          <w:rFonts w:ascii="Arial Narrow" w:hAnsi="Arial Narrow" w:cs="Arial"/>
          <w:sz w:val="24"/>
          <w:szCs w:val="24"/>
        </w:rPr>
        <w:t>, en el que deberá de incluirse la gaceta oficial, leyes, códigos, reglamentos, decretos de creación, reglas de procedimiento, manuales administrativos, reglas de operación, criterios, políticas emitidas aplicables al ámbito de su competencia</w:t>
      </w:r>
      <w:r w:rsidR="0068683C" w:rsidRPr="00CD728B">
        <w:rPr>
          <w:rFonts w:ascii="Arial Narrow" w:hAnsi="Arial Narrow" w:cs="Arial"/>
          <w:sz w:val="24"/>
          <w:szCs w:val="24"/>
        </w:rPr>
        <w:t>,</w:t>
      </w:r>
      <w:r w:rsidRPr="00CD728B">
        <w:rPr>
          <w:rFonts w:ascii="Arial Narrow" w:hAnsi="Arial Narrow" w:cs="Arial"/>
          <w:sz w:val="24"/>
          <w:szCs w:val="24"/>
        </w:rPr>
        <w:t xml:space="preserve"> entre otros. Los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no mantuvieron actualizada su normatividad, conservando información legal que no es vigente. Además, se observa que no publicaron la información relacionada con la transparencia y protección de datos personales y tratados internacionales; por último, aunque publicaron la normatividad debida; los hipervínculos a tales instrumentos jurídicos están rotos o redirigen a una página distinta. </w:t>
      </w:r>
    </w:p>
    <w:p w:rsidR="002E7D47" w:rsidRPr="00CD728B" w:rsidRDefault="002E7D47" w:rsidP="004B6BFD">
      <w:pPr>
        <w:pStyle w:val="Prrafodelista"/>
        <w:spacing w:before="100" w:beforeAutospacing="1" w:after="100" w:afterAutospacing="1" w:line="360" w:lineRule="auto"/>
        <w:jc w:val="both"/>
        <w:rPr>
          <w:rFonts w:ascii="Arial Narrow" w:hAnsi="Arial Narrow" w:cs="Arial"/>
          <w:sz w:val="24"/>
          <w:szCs w:val="24"/>
        </w:rPr>
      </w:pPr>
    </w:p>
    <w:p w:rsidR="00940CBA" w:rsidRPr="00CD728B" w:rsidRDefault="00940CBA" w:rsidP="002E7D47">
      <w:pPr>
        <w:pStyle w:val="Prrafodelista"/>
        <w:numPr>
          <w:ilvl w:val="0"/>
          <w:numId w:val="2"/>
        </w:numPr>
        <w:spacing w:before="100" w:beforeAutospacing="1" w:after="100" w:afterAutospacing="1" w:line="360" w:lineRule="auto"/>
        <w:jc w:val="both"/>
        <w:rPr>
          <w:rFonts w:ascii="Arial Narrow" w:hAnsi="Arial Narrow" w:cs="Arial"/>
          <w:sz w:val="24"/>
          <w:szCs w:val="24"/>
        </w:rPr>
      </w:pPr>
      <w:r w:rsidRPr="00CD728B">
        <w:rPr>
          <w:rFonts w:ascii="Arial Narrow" w:hAnsi="Arial Narrow" w:cs="Arial"/>
          <w:sz w:val="24"/>
          <w:szCs w:val="24"/>
        </w:rPr>
        <w:t xml:space="preserve">Fracción XXXVI, con un ICP de 77.51% referente a la publicación del inventario de bienes muebles e inmuebles en posesión y propiedad; el monto al que ascienden los mismos siempre que su valor sea superior a 350 veces la unidad de medida vigente en la Ciudad de México, así como el catálogo o informe de altas y bajas. Los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de este ámbito de gobierno no actualizaron la información correspondiente al segundo semestre del año 2018; asimismo, varios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no publicaron información alguna indicando erróneamente que no les es aplicable la fracción.</w:t>
      </w:r>
    </w:p>
    <w:p w:rsidR="002E7D47" w:rsidRPr="00CD728B" w:rsidRDefault="002E7D47" w:rsidP="002E7D47">
      <w:pPr>
        <w:pStyle w:val="Prrafodelista"/>
        <w:spacing w:before="100" w:beforeAutospacing="1" w:after="100" w:afterAutospacing="1" w:line="360" w:lineRule="auto"/>
        <w:jc w:val="both"/>
        <w:rPr>
          <w:rFonts w:ascii="Arial Narrow" w:hAnsi="Arial Narrow" w:cs="Arial"/>
          <w:sz w:val="24"/>
          <w:szCs w:val="24"/>
        </w:rPr>
      </w:pPr>
    </w:p>
    <w:p w:rsidR="002E7D47" w:rsidRPr="00CD728B" w:rsidRDefault="00940CBA" w:rsidP="002E7D47">
      <w:pPr>
        <w:pStyle w:val="Prrafodelista"/>
        <w:numPr>
          <w:ilvl w:val="0"/>
          <w:numId w:val="2"/>
        </w:numPr>
        <w:spacing w:before="100" w:beforeAutospacing="1" w:after="100" w:afterAutospacing="1" w:line="360" w:lineRule="auto"/>
        <w:jc w:val="both"/>
        <w:rPr>
          <w:rFonts w:ascii="Arial Narrow" w:hAnsi="Arial Narrow" w:cs="Arial"/>
          <w:sz w:val="24"/>
          <w:szCs w:val="24"/>
        </w:rPr>
      </w:pPr>
      <w:r w:rsidRPr="00CD728B">
        <w:rPr>
          <w:rFonts w:ascii="Arial Narrow" w:hAnsi="Arial Narrow" w:cs="Arial"/>
          <w:sz w:val="24"/>
          <w:szCs w:val="24"/>
        </w:rPr>
        <w:t xml:space="preserve">Fracción XIV, con un ICP de 78.26% en la cual se establece la publicación y actualización del domicilio de la Unidad de Transparencia, además de la dirección electrónica donde podrán recibirse las solicitudes para obtener la información. Los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no publicaron la información solicitada; además de que en varios casos los datos son erróneos o inexactos, por lo que deberán actualizar la información y corregir los datos que no estén correctos. </w:t>
      </w:r>
    </w:p>
    <w:p w:rsidR="002E7D47" w:rsidRPr="00CD728B" w:rsidRDefault="002E7D47" w:rsidP="002E7D47">
      <w:pPr>
        <w:pStyle w:val="Prrafodelista"/>
        <w:spacing w:before="100" w:beforeAutospacing="1" w:after="100" w:afterAutospacing="1" w:line="360" w:lineRule="auto"/>
        <w:jc w:val="both"/>
        <w:rPr>
          <w:rFonts w:ascii="Arial Narrow" w:hAnsi="Arial Narrow" w:cs="Arial"/>
          <w:sz w:val="24"/>
          <w:szCs w:val="24"/>
        </w:rPr>
      </w:pPr>
    </w:p>
    <w:p w:rsidR="002E7D47" w:rsidRPr="00CD728B" w:rsidRDefault="00940CBA" w:rsidP="002E7D47">
      <w:pPr>
        <w:pStyle w:val="Prrafodelista"/>
        <w:numPr>
          <w:ilvl w:val="0"/>
          <w:numId w:val="2"/>
        </w:numPr>
        <w:spacing w:before="100" w:beforeAutospacing="1" w:after="100" w:afterAutospacing="1" w:line="360" w:lineRule="auto"/>
        <w:jc w:val="both"/>
        <w:rPr>
          <w:rFonts w:ascii="Arial Narrow" w:hAnsi="Arial Narrow" w:cs="Arial"/>
          <w:sz w:val="24"/>
          <w:szCs w:val="24"/>
        </w:rPr>
      </w:pPr>
      <w:r w:rsidRPr="00CD728B">
        <w:rPr>
          <w:rFonts w:ascii="Arial Narrow" w:hAnsi="Arial Narrow" w:cs="Arial"/>
          <w:sz w:val="24"/>
          <w:szCs w:val="24"/>
        </w:rPr>
        <w:t xml:space="preserve">Fracción V, con un ICP de 79.73% la cual contempla la publicación y actualización de los indicadores relacionados con temas de interés público o trascendencia social. Los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no actualizaron la información concerniente al cuarto trimestre del año 2018; </w:t>
      </w:r>
      <w:r w:rsidRPr="00CD728B">
        <w:rPr>
          <w:rFonts w:ascii="Arial Narrow" w:hAnsi="Arial Narrow" w:cs="Arial"/>
          <w:sz w:val="24"/>
          <w:szCs w:val="24"/>
        </w:rPr>
        <w:lastRenderedPageBreak/>
        <w:t xml:space="preserve">además que los formatos publicados con la información están incompletos en su llenado y varios de los hipervínculos contenidos están rotos o no llevan directamente a la información descrita. Por tal razón, el </w:t>
      </w:r>
      <w:r w:rsidR="005A4A11" w:rsidRPr="00CD728B">
        <w:rPr>
          <w:rFonts w:ascii="Arial Narrow" w:hAnsi="Arial Narrow" w:cs="Arial"/>
          <w:sz w:val="24"/>
          <w:szCs w:val="24"/>
        </w:rPr>
        <w:t>Sujeto Obligado</w:t>
      </w:r>
      <w:r w:rsidRPr="00CD728B">
        <w:rPr>
          <w:rFonts w:ascii="Arial Narrow" w:hAnsi="Arial Narrow" w:cs="Arial"/>
          <w:sz w:val="24"/>
          <w:szCs w:val="24"/>
        </w:rPr>
        <w:t xml:space="preserve"> deberá actualizar su información y publicar los datos en atención a los formatos predeterminados para tal </w:t>
      </w:r>
      <w:r w:rsidR="002E7D47" w:rsidRPr="00CD728B">
        <w:rPr>
          <w:rFonts w:ascii="Arial Narrow" w:hAnsi="Arial Narrow" w:cs="Arial"/>
          <w:sz w:val="24"/>
          <w:szCs w:val="24"/>
        </w:rPr>
        <w:t xml:space="preserve">efecto. </w:t>
      </w:r>
    </w:p>
    <w:p w:rsidR="002E7D47" w:rsidRPr="00CD728B" w:rsidRDefault="002E7D47" w:rsidP="002E7D47">
      <w:pPr>
        <w:pStyle w:val="Prrafodelista"/>
        <w:spacing w:before="100" w:beforeAutospacing="1" w:after="100" w:afterAutospacing="1" w:line="360" w:lineRule="auto"/>
        <w:jc w:val="both"/>
        <w:rPr>
          <w:rFonts w:ascii="Arial Narrow" w:hAnsi="Arial Narrow" w:cs="Arial"/>
          <w:sz w:val="24"/>
          <w:szCs w:val="24"/>
        </w:rPr>
      </w:pPr>
    </w:p>
    <w:p w:rsidR="004B6BFD" w:rsidRPr="004B6BFD" w:rsidRDefault="00940CBA" w:rsidP="004B6BFD">
      <w:pPr>
        <w:pStyle w:val="Prrafodelista"/>
        <w:numPr>
          <w:ilvl w:val="0"/>
          <w:numId w:val="2"/>
        </w:numPr>
        <w:spacing w:before="100" w:beforeAutospacing="1" w:after="100" w:afterAutospacing="1" w:line="360" w:lineRule="auto"/>
        <w:jc w:val="both"/>
        <w:rPr>
          <w:rFonts w:ascii="Arial Narrow" w:hAnsi="Arial Narrow" w:cs="Arial"/>
          <w:sz w:val="24"/>
          <w:szCs w:val="24"/>
        </w:rPr>
      </w:pPr>
      <w:r w:rsidRPr="00CD728B">
        <w:rPr>
          <w:rFonts w:ascii="Arial Narrow" w:hAnsi="Arial Narrow" w:cs="Arial"/>
          <w:sz w:val="24"/>
          <w:szCs w:val="24"/>
        </w:rPr>
        <w:t xml:space="preserve">Fracción XXXVIII, con un ICP de 79.89% la cual versa sobre la relación del número de recomendaciones emitidas por el Instituto a los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y el seguimiento a cada una de ellas. Los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no actualizaron, ni publicaron la información respecto del segundo trimestre del año 2018; por lo que deberán realizar las actualizaciones y publicaciones pertinentes. </w:t>
      </w:r>
    </w:p>
    <w:p w:rsidR="004B6BFD" w:rsidRPr="004B6BFD" w:rsidRDefault="004B6BFD" w:rsidP="004B6BFD">
      <w:pPr>
        <w:pStyle w:val="Prrafodelista"/>
        <w:spacing w:before="100" w:beforeAutospacing="1" w:after="100" w:afterAutospacing="1" w:line="360" w:lineRule="auto"/>
        <w:jc w:val="both"/>
        <w:rPr>
          <w:rFonts w:ascii="Arial Narrow" w:hAnsi="Arial Narrow" w:cs="Arial"/>
          <w:sz w:val="24"/>
          <w:szCs w:val="24"/>
        </w:rPr>
      </w:pPr>
    </w:p>
    <w:p w:rsidR="00940CBA" w:rsidRPr="00CD728B" w:rsidRDefault="00940CBA"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De igual forma, las tres fracciones con un ICP ubicadas en el rango de 90% a 99% son las que se detallan a continuación:</w:t>
      </w:r>
    </w:p>
    <w:p w:rsidR="00940CBA" w:rsidRPr="00CD728B" w:rsidRDefault="00940CBA" w:rsidP="002E7D47">
      <w:pPr>
        <w:pStyle w:val="Prrafodelista"/>
        <w:numPr>
          <w:ilvl w:val="0"/>
          <w:numId w:val="3"/>
        </w:numPr>
        <w:spacing w:before="100" w:beforeAutospacing="1" w:after="100" w:afterAutospacing="1" w:line="360" w:lineRule="auto"/>
        <w:jc w:val="both"/>
        <w:rPr>
          <w:rFonts w:ascii="Arial Narrow" w:hAnsi="Arial Narrow" w:cs="Arial"/>
          <w:sz w:val="24"/>
          <w:szCs w:val="24"/>
        </w:rPr>
      </w:pPr>
      <w:r w:rsidRPr="00CD728B">
        <w:rPr>
          <w:rFonts w:ascii="Arial Narrow" w:hAnsi="Arial Narrow" w:cs="Arial"/>
          <w:sz w:val="24"/>
          <w:szCs w:val="24"/>
        </w:rPr>
        <w:t xml:space="preserve">Fracción VIII, con un ICP de 90.96%, la cual señala la obligación de publicar los planes, programas o proyectos, con indicadores de gestión, de resultados y sus metas, que permitan evaluar su desempeño por área de conformidad con sus programas operativos. </w:t>
      </w:r>
    </w:p>
    <w:p w:rsidR="002E7D47" w:rsidRPr="00CD728B" w:rsidRDefault="002E7D47" w:rsidP="002E7D47">
      <w:pPr>
        <w:pStyle w:val="Prrafodelista"/>
        <w:spacing w:before="100" w:beforeAutospacing="1" w:after="100" w:afterAutospacing="1" w:line="360" w:lineRule="auto"/>
        <w:jc w:val="both"/>
        <w:rPr>
          <w:rFonts w:ascii="Arial Narrow" w:hAnsi="Arial Narrow" w:cs="Arial"/>
          <w:sz w:val="24"/>
          <w:szCs w:val="24"/>
        </w:rPr>
      </w:pPr>
    </w:p>
    <w:p w:rsidR="002E7D47" w:rsidRPr="00CD728B" w:rsidRDefault="00940CBA" w:rsidP="002E7D47">
      <w:pPr>
        <w:pStyle w:val="Prrafodelista"/>
        <w:numPr>
          <w:ilvl w:val="0"/>
          <w:numId w:val="3"/>
        </w:numPr>
        <w:spacing w:before="100" w:beforeAutospacing="1" w:after="100" w:afterAutospacing="1" w:line="360" w:lineRule="auto"/>
        <w:jc w:val="both"/>
        <w:rPr>
          <w:rFonts w:ascii="Arial Narrow" w:hAnsi="Arial Narrow" w:cs="Arial"/>
          <w:sz w:val="24"/>
          <w:szCs w:val="24"/>
        </w:rPr>
      </w:pPr>
      <w:r w:rsidRPr="00CD728B">
        <w:rPr>
          <w:rFonts w:ascii="Arial Narrow" w:hAnsi="Arial Narrow" w:cs="Arial"/>
          <w:sz w:val="24"/>
          <w:szCs w:val="24"/>
        </w:rPr>
        <w:t xml:space="preserve">Fracción LIV, con un ICP de 91.03%, referente a los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que otorguen incentivos, condonaciones o reducciones fiscales; concesiones, permiso</w:t>
      </w:r>
      <w:r w:rsidR="00692FB9" w:rsidRPr="00CD728B">
        <w:rPr>
          <w:rFonts w:ascii="Arial Narrow" w:hAnsi="Arial Narrow" w:cs="Arial"/>
          <w:sz w:val="24"/>
          <w:szCs w:val="24"/>
        </w:rPr>
        <w:t>s</w:t>
      </w:r>
      <w:r w:rsidRPr="00CD728B">
        <w:rPr>
          <w:rFonts w:ascii="Arial Narrow" w:hAnsi="Arial Narrow" w:cs="Arial"/>
          <w:sz w:val="24"/>
          <w:szCs w:val="24"/>
        </w:rPr>
        <w:t xml:space="preserve"> o licencias por virtud de las cuales se usen, gocen, disfruten o exploten bienes públicos, se ejerzan actos o se desarrolle cualquier actividad de interés público o se opere en auxilio y colaboración de la autoridad, se perciban ingresos de ellas, se reciban o permitan el ejercicio de gasto público; deberán señalar a las personas beneficiadas, la temporalidad, los montos y todo aquello relacionado con el acto administrativo, así como lo que para tal efecto le determine el Instituto. </w:t>
      </w:r>
    </w:p>
    <w:p w:rsidR="002E7D47" w:rsidRPr="00CD728B" w:rsidRDefault="002E7D47" w:rsidP="002E7D47">
      <w:pPr>
        <w:pStyle w:val="Prrafodelista"/>
        <w:spacing w:before="100" w:beforeAutospacing="1" w:after="100" w:afterAutospacing="1" w:line="360" w:lineRule="auto"/>
        <w:jc w:val="both"/>
        <w:rPr>
          <w:rFonts w:ascii="Arial Narrow" w:hAnsi="Arial Narrow" w:cs="Arial"/>
          <w:sz w:val="24"/>
          <w:szCs w:val="24"/>
        </w:rPr>
      </w:pPr>
    </w:p>
    <w:p w:rsidR="00AF69FA" w:rsidRPr="00CD728B" w:rsidRDefault="00940CBA" w:rsidP="002E7D47">
      <w:pPr>
        <w:pStyle w:val="Prrafodelista"/>
        <w:numPr>
          <w:ilvl w:val="0"/>
          <w:numId w:val="3"/>
        </w:numPr>
        <w:spacing w:before="100" w:beforeAutospacing="1" w:after="100" w:afterAutospacing="1" w:line="360" w:lineRule="auto"/>
        <w:jc w:val="both"/>
        <w:rPr>
          <w:rFonts w:ascii="Arial Narrow" w:hAnsi="Arial Narrow" w:cs="Arial"/>
          <w:sz w:val="24"/>
          <w:szCs w:val="24"/>
        </w:rPr>
      </w:pPr>
      <w:r w:rsidRPr="00CD728B">
        <w:rPr>
          <w:rFonts w:ascii="Arial Narrow" w:hAnsi="Arial Narrow" w:cs="Arial"/>
          <w:sz w:val="24"/>
          <w:szCs w:val="24"/>
        </w:rPr>
        <w:lastRenderedPageBreak/>
        <w:t xml:space="preserve">Fracción XXXIX, con un ICP de 94.78%, referente a las resoluciones y laudos que se emitan en procesos o procedimientos seguidos en forma de juicio. </w:t>
      </w:r>
    </w:p>
    <w:p w:rsidR="00940CBA" w:rsidRPr="00CD728B" w:rsidRDefault="00940CBA" w:rsidP="002E7D47">
      <w:pPr>
        <w:pStyle w:val="Ttulo3"/>
        <w:numPr>
          <w:ilvl w:val="2"/>
          <w:numId w:val="15"/>
        </w:numPr>
        <w:contextualSpacing/>
        <w:jc w:val="both"/>
        <w:rPr>
          <w:rFonts w:ascii="Arial Narrow" w:hAnsi="Arial Narrow"/>
          <w:b/>
          <w:color w:val="auto"/>
        </w:rPr>
      </w:pPr>
      <w:bookmarkStart w:id="14" w:name="_Toc14293715"/>
      <w:r w:rsidRPr="00CD728B">
        <w:rPr>
          <w:rFonts w:ascii="Arial Narrow" w:hAnsi="Arial Narrow"/>
          <w:b/>
          <w:color w:val="auto"/>
        </w:rPr>
        <w:t xml:space="preserve">Análisis del </w:t>
      </w:r>
      <w:r w:rsidR="009D7771">
        <w:rPr>
          <w:rFonts w:ascii="Arial Narrow" w:hAnsi="Arial Narrow"/>
          <w:b/>
          <w:color w:val="auto"/>
        </w:rPr>
        <w:t>Artículo</w:t>
      </w:r>
      <w:r w:rsidRPr="00CD728B">
        <w:rPr>
          <w:rFonts w:ascii="Arial Narrow" w:hAnsi="Arial Narrow"/>
          <w:b/>
          <w:color w:val="auto"/>
        </w:rPr>
        <w:t xml:space="preserve"> 122 y sus respectivas fracciones</w:t>
      </w:r>
      <w:bookmarkEnd w:id="14"/>
    </w:p>
    <w:p w:rsidR="00940CBA" w:rsidRPr="00CD728B" w:rsidRDefault="00940CBA" w:rsidP="002E7D47">
      <w:pPr>
        <w:spacing w:before="100" w:beforeAutospacing="1" w:after="100" w:afterAutospacing="1" w:line="360" w:lineRule="auto"/>
        <w:contextualSpacing/>
        <w:jc w:val="both"/>
        <w:rPr>
          <w:rFonts w:ascii="Arial Narrow" w:hAnsi="Arial Narrow" w:cs="Arial"/>
          <w:b/>
          <w:bCs/>
          <w:sz w:val="24"/>
          <w:szCs w:val="24"/>
        </w:rPr>
      </w:pPr>
      <w:r w:rsidRPr="00CD728B">
        <w:rPr>
          <w:rFonts w:ascii="Arial Narrow" w:hAnsi="Arial Narrow" w:cs="Arial"/>
          <w:b/>
          <w:bCs/>
          <w:noProof/>
          <w:sz w:val="24"/>
          <w:szCs w:val="24"/>
          <w:lang w:val="es-MX" w:eastAsia="es-MX"/>
        </w:rPr>
        <w:drawing>
          <wp:inline distT="0" distB="0" distL="0" distR="0" wp14:anchorId="4A66777C" wp14:editId="5802B07A">
            <wp:extent cx="5612130" cy="2938145"/>
            <wp:effectExtent l="0" t="0" r="762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atsApp Image 2019-07-02 at 12.56.55 PM.jpeg"/>
                    <pic:cNvPicPr/>
                  </pic:nvPicPr>
                  <pic:blipFill>
                    <a:blip r:embed="rId9">
                      <a:extLst>
                        <a:ext uri="{28A0092B-C50C-407E-A947-70E740481C1C}">
                          <a14:useLocalDpi xmlns:a14="http://schemas.microsoft.com/office/drawing/2010/main" val="0"/>
                        </a:ext>
                      </a:extLst>
                    </a:blip>
                    <a:stretch>
                      <a:fillRect/>
                    </a:stretch>
                  </pic:blipFill>
                  <pic:spPr>
                    <a:xfrm>
                      <a:off x="0" y="0"/>
                      <a:ext cx="5612130" cy="2938145"/>
                    </a:xfrm>
                    <a:prstGeom prst="rect">
                      <a:avLst/>
                    </a:prstGeom>
                  </pic:spPr>
                </pic:pic>
              </a:graphicData>
            </a:graphic>
          </wp:inline>
        </w:drawing>
      </w:r>
    </w:p>
    <w:p w:rsidR="002E7D47" w:rsidRPr="00CD728B" w:rsidRDefault="002E7D47" w:rsidP="002E7D47">
      <w:pPr>
        <w:spacing w:before="100" w:beforeAutospacing="1" w:after="100" w:afterAutospacing="1" w:line="360" w:lineRule="auto"/>
        <w:contextualSpacing/>
        <w:jc w:val="both"/>
        <w:rPr>
          <w:rFonts w:ascii="Arial Narrow" w:hAnsi="Arial Narrow" w:cs="Arial"/>
          <w:sz w:val="24"/>
          <w:szCs w:val="24"/>
        </w:rPr>
      </w:pPr>
    </w:p>
    <w:p w:rsidR="00940CBA" w:rsidRPr="00CD728B" w:rsidRDefault="00940CBA"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 xml:space="preserve">Los seis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de la Administración Central a los cuales les aplica este </w:t>
      </w:r>
      <w:r w:rsidR="009D7771">
        <w:rPr>
          <w:rFonts w:ascii="Arial Narrow" w:hAnsi="Arial Narrow" w:cs="Arial"/>
          <w:sz w:val="24"/>
          <w:szCs w:val="24"/>
        </w:rPr>
        <w:t>Artículo</w:t>
      </w:r>
      <w:r w:rsidRPr="00CD728B">
        <w:rPr>
          <w:rFonts w:ascii="Arial Narrow" w:hAnsi="Arial Narrow" w:cs="Arial"/>
          <w:sz w:val="24"/>
          <w:szCs w:val="24"/>
        </w:rPr>
        <w:t>, obtuvieron un ICP de 92.9%; por lo que se encuentra dentro del área de cumplimiento parcial. Tres</w:t>
      </w:r>
      <w:r w:rsidRPr="00CD728B">
        <w:rPr>
          <w:rStyle w:val="Refdenotaalpie"/>
          <w:rFonts w:ascii="Arial Narrow" w:hAnsi="Arial Narrow" w:cs="Arial"/>
          <w:sz w:val="24"/>
          <w:szCs w:val="24"/>
        </w:rPr>
        <w:footnoteReference w:id="5"/>
      </w:r>
      <w:r w:rsidRPr="00CD728B">
        <w:rPr>
          <w:rFonts w:ascii="Arial Narrow" w:hAnsi="Arial Narrow" w:cs="Arial"/>
          <w:sz w:val="24"/>
          <w:szCs w:val="24"/>
        </w:rPr>
        <w:t xml:space="preserve"> cumplieron totalmente y tres</w:t>
      </w:r>
      <w:r w:rsidRPr="00CD728B">
        <w:rPr>
          <w:rStyle w:val="Refdenotaalpie"/>
          <w:rFonts w:ascii="Arial Narrow" w:hAnsi="Arial Narrow" w:cs="Arial"/>
          <w:sz w:val="24"/>
          <w:szCs w:val="24"/>
        </w:rPr>
        <w:footnoteReference w:id="6"/>
      </w:r>
      <w:r w:rsidRPr="00CD728B">
        <w:rPr>
          <w:rFonts w:ascii="Arial Narrow" w:hAnsi="Arial Narrow" w:cs="Arial"/>
          <w:sz w:val="24"/>
          <w:szCs w:val="24"/>
        </w:rPr>
        <w:t xml:space="preserve"> parcialmente. En esta línea, en la fracción I consistente en los criterios de planeación y ejecución de programas, especificando las metas y objetivos anualmente, así como el presupuesto público destinado para ello y en la fracción III referente al resultado de la evaluación del ejercicio de operación de los prog</w:t>
      </w:r>
      <w:r w:rsidR="00EE5F08" w:rsidRPr="00CD728B">
        <w:rPr>
          <w:rFonts w:ascii="Arial Narrow" w:hAnsi="Arial Narrow" w:cs="Arial"/>
          <w:sz w:val="24"/>
          <w:szCs w:val="24"/>
        </w:rPr>
        <w:t>ramas se obtuvo un ICP de 100%.</w:t>
      </w:r>
    </w:p>
    <w:p w:rsidR="00EE5F08" w:rsidRPr="00CD728B" w:rsidRDefault="00EE5F08" w:rsidP="002E7D47">
      <w:pPr>
        <w:spacing w:before="100" w:beforeAutospacing="1" w:after="100" w:afterAutospacing="1" w:line="360" w:lineRule="auto"/>
        <w:contextualSpacing/>
        <w:jc w:val="both"/>
        <w:rPr>
          <w:rFonts w:ascii="Arial Narrow" w:hAnsi="Arial Narrow" w:cs="Arial"/>
          <w:sz w:val="24"/>
          <w:szCs w:val="24"/>
        </w:rPr>
      </w:pPr>
    </w:p>
    <w:p w:rsidR="00940CBA" w:rsidRPr="00CD728B" w:rsidRDefault="00940CBA"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lastRenderedPageBreak/>
        <w:t xml:space="preserve">En lo que se refiere a la fracción II, la cual indica que los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deberán actualizar mensualmente los programas, subsidios, estímulos, apoyos, y ayudas; se alcanzó un ICP de 93.11%. En lo que respecta a esta fracción, los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no publicaron ni actualizaron la información al cuarto trimestre del año 2018; sobre los incisos de la “A” a la “R”; por lo que deberán de realizar la actualización señalada en los Lineamientos y Metodología de Evalu</w:t>
      </w:r>
      <w:r w:rsidR="00EE5F08" w:rsidRPr="00CD728B">
        <w:rPr>
          <w:rFonts w:ascii="Arial Narrow" w:hAnsi="Arial Narrow" w:cs="Arial"/>
          <w:sz w:val="24"/>
          <w:szCs w:val="24"/>
        </w:rPr>
        <w:t>ación aplicable a tal fracción.</w:t>
      </w:r>
    </w:p>
    <w:p w:rsidR="00940CBA" w:rsidRPr="00CD728B" w:rsidRDefault="00940CBA" w:rsidP="002E7D47">
      <w:pPr>
        <w:pStyle w:val="Ttulo3"/>
        <w:numPr>
          <w:ilvl w:val="2"/>
          <w:numId w:val="15"/>
        </w:numPr>
        <w:contextualSpacing/>
        <w:jc w:val="both"/>
        <w:rPr>
          <w:rFonts w:ascii="Arial Narrow" w:hAnsi="Arial Narrow"/>
          <w:b/>
          <w:color w:val="auto"/>
        </w:rPr>
      </w:pPr>
      <w:bookmarkStart w:id="15" w:name="_Toc14293716"/>
      <w:r w:rsidRPr="00CD728B">
        <w:rPr>
          <w:rFonts w:ascii="Arial Narrow" w:hAnsi="Arial Narrow"/>
          <w:b/>
          <w:color w:val="auto"/>
        </w:rPr>
        <w:t xml:space="preserve">Análisis del </w:t>
      </w:r>
      <w:r w:rsidR="009D7771">
        <w:rPr>
          <w:rFonts w:ascii="Arial Narrow" w:hAnsi="Arial Narrow"/>
          <w:b/>
          <w:color w:val="auto"/>
        </w:rPr>
        <w:t>Artículo</w:t>
      </w:r>
      <w:r w:rsidRPr="00CD728B">
        <w:rPr>
          <w:rFonts w:ascii="Arial Narrow" w:hAnsi="Arial Narrow"/>
          <w:b/>
          <w:color w:val="auto"/>
        </w:rPr>
        <w:t xml:space="preserve"> 123 y sus respectivas fracciones</w:t>
      </w:r>
      <w:bookmarkEnd w:id="15"/>
    </w:p>
    <w:p w:rsidR="00940CBA" w:rsidRPr="00CD728B" w:rsidRDefault="00940CBA" w:rsidP="002E7D47">
      <w:pPr>
        <w:spacing w:before="100" w:beforeAutospacing="1" w:after="100" w:afterAutospacing="1" w:line="360" w:lineRule="auto"/>
        <w:contextualSpacing/>
        <w:jc w:val="both"/>
        <w:rPr>
          <w:rFonts w:ascii="Arial Narrow" w:hAnsi="Arial Narrow" w:cs="Arial"/>
          <w:b/>
          <w:bCs/>
          <w:sz w:val="24"/>
          <w:szCs w:val="24"/>
        </w:rPr>
      </w:pPr>
      <w:r w:rsidRPr="00CD728B">
        <w:rPr>
          <w:rFonts w:ascii="Arial Narrow" w:hAnsi="Arial Narrow" w:cs="Arial"/>
          <w:b/>
          <w:bCs/>
          <w:noProof/>
          <w:sz w:val="24"/>
          <w:szCs w:val="24"/>
          <w:lang w:val="es-MX" w:eastAsia="es-MX"/>
        </w:rPr>
        <w:drawing>
          <wp:inline distT="0" distB="0" distL="0" distR="0" wp14:anchorId="7A392FC1" wp14:editId="7EE9ED7B">
            <wp:extent cx="5612130" cy="3028950"/>
            <wp:effectExtent l="0" t="0" r="762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hatsApp Image 2019-07-02 at 12.59.52 PM.jpeg"/>
                    <pic:cNvPicPr/>
                  </pic:nvPicPr>
                  <pic:blipFill>
                    <a:blip r:embed="rId10">
                      <a:extLst>
                        <a:ext uri="{28A0092B-C50C-407E-A947-70E740481C1C}">
                          <a14:useLocalDpi xmlns:a14="http://schemas.microsoft.com/office/drawing/2010/main" val="0"/>
                        </a:ext>
                      </a:extLst>
                    </a:blip>
                    <a:stretch>
                      <a:fillRect/>
                    </a:stretch>
                  </pic:blipFill>
                  <pic:spPr>
                    <a:xfrm>
                      <a:off x="0" y="0"/>
                      <a:ext cx="5612130" cy="3028950"/>
                    </a:xfrm>
                    <a:prstGeom prst="rect">
                      <a:avLst/>
                    </a:prstGeom>
                  </pic:spPr>
                </pic:pic>
              </a:graphicData>
            </a:graphic>
          </wp:inline>
        </w:drawing>
      </w:r>
    </w:p>
    <w:p w:rsidR="00EE5F08" w:rsidRPr="00CD728B" w:rsidRDefault="00EE5F08" w:rsidP="002E7D47">
      <w:pPr>
        <w:spacing w:before="100" w:beforeAutospacing="1" w:after="100" w:afterAutospacing="1" w:line="360" w:lineRule="auto"/>
        <w:contextualSpacing/>
        <w:jc w:val="both"/>
        <w:rPr>
          <w:rFonts w:ascii="Arial Narrow" w:hAnsi="Arial Narrow" w:cs="Arial"/>
          <w:sz w:val="24"/>
          <w:szCs w:val="24"/>
        </w:rPr>
      </w:pPr>
    </w:p>
    <w:p w:rsidR="00940CBA" w:rsidRPr="00CD728B" w:rsidRDefault="00940CBA"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 xml:space="preserve">Los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de la Administración Central alcanzaron un ICP en este </w:t>
      </w:r>
      <w:r w:rsidR="009D7771">
        <w:rPr>
          <w:rFonts w:ascii="Arial Narrow" w:hAnsi="Arial Narrow" w:cs="Arial"/>
          <w:sz w:val="24"/>
          <w:szCs w:val="24"/>
        </w:rPr>
        <w:t>Artículo</w:t>
      </w:r>
      <w:r w:rsidRPr="00CD728B">
        <w:rPr>
          <w:rFonts w:ascii="Arial Narrow" w:hAnsi="Arial Narrow" w:cs="Arial"/>
          <w:sz w:val="24"/>
          <w:szCs w:val="24"/>
        </w:rPr>
        <w:t xml:space="preserve"> de 81.77%, por lo que se encuentra dentro del área de cumplimiento parcial. En atención a lo anterior, cuatro</w:t>
      </w:r>
      <w:r w:rsidRPr="00CD728B">
        <w:rPr>
          <w:rStyle w:val="Refdenotaalpie"/>
          <w:rFonts w:ascii="Arial Narrow" w:hAnsi="Arial Narrow" w:cs="Arial"/>
          <w:sz w:val="24"/>
          <w:szCs w:val="24"/>
        </w:rPr>
        <w:footnoteReference w:id="7"/>
      </w:r>
      <w:r w:rsidRPr="00CD728B">
        <w:rPr>
          <w:rFonts w:ascii="Arial Narrow" w:hAnsi="Arial Narrow" w:cs="Arial"/>
          <w:sz w:val="24"/>
          <w:szCs w:val="24"/>
        </w:rPr>
        <w:t xml:space="preserve"> </w:t>
      </w:r>
      <w:r w:rsidRPr="00CD728B">
        <w:rPr>
          <w:rFonts w:ascii="Arial Narrow" w:hAnsi="Arial Narrow" w:cs="Arial"/>
          <w:sz w:val="24"/>
          <w:szCs w:val="24"/>
        </w:rPr>
        <w:lastRenderedPageBreak/>
        <w:t>sujetos cumplieron totalmente, 15</w:t>
      </w:r>
      <w:r w:rsidRPr="00CD728B">
        <w:rPr>
          <w:rStyle w:val="Refdenotaalpie"/>
          <w:rFonts w:ascii="Arial Narrow" w:hAnsi="Arial Narrow" w:cs="Arial"/>
          <w:sz w:val="24"/>
          <w:szCs w:val="24"/>
        </w:rPr>
        <w:footnoteReference w:id="8"/>
      </w:r>
      <w:r w:rsidRPr="00CD728B">
        <w:rPr>
          <w:rFonts w:ascii="Arial Narrow" w:hAnsi="Arial Narrow" w:cs="Arial"/>
          <w:sz w:val="24"/>
          <w:szCs w:val="24"/>
        </w:rPr>
        <w:t xml:space="preserve"> parcialmente y cuatro</w:t>
      </w:r>
      <w:r w:rsidRPr="00CD728B">
        <w:rPr>
          <w:rStyle w:val="Refdenotaalpie"/>
          <w:rFonts w:ascii="Arial Narrow" w:hAnsi="Arial Narrow" w:cs="Arial"/>
          <w:sz w:val="24"/>
          <w:szCs w:val="24"/>
        </w:rPr>
        <w:footnoteReference w:id="9"/>
      </w:r>
      <w:r w:rsidRPr="00CD728B">
        <w:rPr>
          <w:rFonts w:ascii="Arial Narrow" w:hAnsi="Arial Narrow" w:cs="Arial"/>
          <w:sz w:val="24"/>
          <w:szCs w:val="24"/>
        </w:rPr>
        <w:t xml:space="preserve"> incumplieron parcialmente. En esta línea, las cinco fracciones que tienen una mayor área de oportunidad son las siguientes: </w:t>
      </w:r>
    </w:p>
    <w:p w:rsidR="00940CBA" w:rsidRPr="00CD728B" w:rsidRDefault="00940CBA" w:rsidP="002E7D47">
      <w:pPr>
        <w:pStyle w:val="Prrafodelista"/>
        <w:numPr>
          <w:ilvl w:val="0"/>
          <w:numId w:val="4"/>
        </w:numPr>
        <w:spacing w:before="100" w:beforeAutospacing="1" w:after="100" w:afterAutospacing="1" w:line="360" w:lineRule="auto"/>
        <w:jc w:val="both"/>
        <w:rPr>
          <w:rFonts w:ascii="Arial Narrow" w:hAnsi="Arial Narrow" w:cs="Arial"/>
          <w:sz w:val="24"/>
          <w:szCs w:val="24"/>
        </w:rPr>
      </w:pPr>
      <w:r w:rsidRPr="00CD728B">
        <w:rPr>
          <w:rFonts w:ascii="Arial Narrow" w:hAnsi="Arial Narrow" w:cs="Arial"/>
          <w:sz w:val="24"/>
          <w:szCs w:val="24"/>
        </w:rPr>
        <w:t xml:space="preserve">Fracción VIII, con un ICP de 74.18% la cual consiste en las disposiciones administrativas, directamente o a través de la autoridad competente, con el plazo de anticipación que prevea la legislación aplicable al </w:t>
      </w:r>
      <w:r w:rsidR="005A4A11" w:rsidRPr="00CD728B">
        <w:rPr>
          <w:rFonts w:ascii="Arial Narrow" w:hAnsi="Arial Narrow" w:cs="Arial"/>
          <w:sz w:val="24"/>
          <w:szCs w:val="24"/>
        </w:rPr>
        <w:t>Sujeto Obligado</w:t>
      </w:r>
      <w:r w:rsidRPr="00CD728B">
        <w:rPr>
          <w:rFonts w:ascii="Arial Narrow" w:hAnsi="Arial Narrow" w:cs="Arial"/>
          <w:sz w:val="24"/>
          <w:szCs w:val="24"/>
        </w:rPr>
        <w:t xml:space="preserve">, salvo que su difusión pueda comprometer los efectos que se pretenden lograr o se trate de situaciones de emergencia. Los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no actualizaron la información en los portales y la PNT al cuarto trimestre del año 2018.</w:t>
      </w:r>
      <w:r w:rsidR="00D3160C" w:rsidRPr="00CD728B">
        <w:rPr>
          <w:rFonts w:ascii="Arial Narrow" w:hAnsi="Arial Narrow" w:cs="Arial"/>
          <w:sz w:val="24"/>
          <w:szCs w:val="24"/>
        </w:rPr>
        <w:t xml:space="preserve"> </w:t>
      </w:r>
      <w:r w:rsidRPr="00CD728B">
        <w:rPr>
          <w:rFonts w:ascii="Arial Narrow" w:hAnsi="Arial Narrow" w:cs="Arial"/>
          <w:sz w:val="24"/>
          <w:szCs w:val="24"/>
        </w:rPr>
        <w:t xml:space="preserve">Fracción XIV (ICP de 74.18%) referente a la información de utilidad o que resulte relevante para el conocimiento y evaluación de las funciones y políticas públicas. Los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deberán actualizar la información respecto al cuarto trimestre del 2018; puesto que no se encuentra vigente.</w:t>
      </w:r>
    </w:p>
    <w:p w:rsidR="00EE5F08" w:rsidRPr="00CD728B" w:rsidRDefault="00EE5F08" w:rsidP="00EE5F08">
      <w:pPr>
        <w:pStyle w:val="Prrafodelista"/>
        <w:spacing w:before="100" w:beforeAutospacing="1" w:after="100" w:afterAutospacing="1" w:line="360" w:lineRule="auto"/>
        <w:jc w:val="both"/>
        <w:rPr>
          <w:rFonts w:ascii="Arial Narrow" w:hAnsi="Arial Narrow" w:cs="Arial"/>
          <w:sz w:val="24"/>
          <w:szCs w:val="24"/>
        </w:rPr>
      </w:pPr>
    </w:p>
    <w:p w:rsidR="00EE5F08" w:rsidRPr="00CD728B" w:rsidRDefault="00940CBA" w:rsidP="00EE5F08">
      <w:pPr>
        <w:pStyle w:val="Prrafodelista"/>
        <w:numPr>
          <w:ilvl w:val="0"/>
          <w:numId w:val="4"/>
        </w:numPr>
        <w:spacing w:before="100" w:beforeAutospacing="1" w:after="100" w:afterAutospacing="1" w:line="360" w:lineRule="auto"/>
        <w:jc w:val="both"/>
        <w:rPr>
          <w:rFonts w:ascii="Arial Narrow" w:hAnsi="Arial Narrow" w:cs="Arial"/>
          <w:sz w:val="24"/>
          <w:szCs w:val="24"/>
        </w:rPr>
      </w:pPr>
      <w:r w:rsidRPr="00CD728B">
        <w:rPr>
          <w:rFonts w:ascii="Arial Narrow" w:hAnsi="Arial Narrow" w:cs="Arial"/>
          <w:sz w:val="24"/>
          <w:szCs w:val="24"/>
        </w:rPr>
        <w:t xml:space="preserve">Fracción XIII, con un ICP de 77.69% la cual versa sobre los convenios de coordinación con la Federación, Entidades Federativas y Municipios, y de concentración con los sectores sociales y privados, señalando el objetivo, la partes y el tiempo de duración. Los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deberán actualizar la información respecto al cuarto trimestre del 2018. </w:t>
      </w:r>
    </w:p>
    <w:p w:rsidR="00EE5F08" w:rsidRPr="00CD728B" w:rsidRDefault="00EE5F08" w:rsidP="00EE5F08">
      <w:pPr>
        <w:pStyle w:val="Prrafodelista"/>
        <w:spacing w:before="100" w:beforeAutospacing="1" w:after="100" w:afterAutospacing="1" w:line="360" w:lineRule="auto"/>
        <w:jc w:val="both"/>
        <w:rPr>
          <w:rFonts w:ascii="Arial Narrow" w:hAnsi="Arial Narrow" w:cs="Arial"/>
          <w:sz w:val="24"/>
          <w:szCs w:val="24"/>
        </w:rPr>
      </w:pPr>
    </w:p>
    <w:p w:rsidR="00EE5F08" w:rsidRPr="00CD728B" w:rsidRDefault="00940CBA" w:rsidP="00EE5F08">
      <w:pPr>
        <w:pStyle w:val="Prrafodelista"/>
        <w:numPr>
          <w:ilvl w:val="0"/>
          <w:numId w:val="4"/>
        </w:numPr>
        <w:spacing w:before="100" w:beforeAutospacing="1" w:after="100" w:afterAutospacing="1" w:line="360" w:lineRule="auto"/>
        <w:jc w:val="both"/>
        <w:rPr>
          <w:rFonts w:ascii="Arial Narrow" w:hAnsi="Arial Narrow" w:cs="Arial"/>
          <w:sz w:val="24"/>
          <w:szCs w:val="24"/>
        </w:rPr>
      </w:pPr>
      <w:r w:rsidRPr="00CD728B">
        <w:rPr>
          <w:rFonts w:ascii="Arial Narrow" w:hAnsi="Arial Narrow" w:cs="Arial"/>
          <w:sz w:val="24"/>
          <w:szCs w:val="24"/>
        </w:rPr>
        <w:t xml:space="preserve">Fracción XVIII, con un ICP de 78.94%, respecto de los usos de suelo a través de mapas y planos geográficos que permitan que el usuario conozca de manera rápida y sencilla el tipo de uso de suelo con que cuenta cada predio, los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publicaron la información, sin embargo, los hipervínculos que redirigen a la información sustantiva están rotos o inactivos.</w:t>
      </w:r>
    </w:p>
    <w:p w:rsidR="00EE5F08" w:rsidRPr="00CD728B" w:rsidRDefault="00EE5F08" w:rsidP="00EE5F08">
      <w:pPr>
        <w:pStyle w:val="Prrafodelista"/>
        <w:spacing w:before="100" w:beforeAutospacing="1" w:after="100" w:afterAutospacing="1" w:line="360" w:lineRule="auto"/>
        <w:jc w:val="both"/>
        <w:rPr>
          <w:rFonts w:ascii="Arial Narrow" w:hAnsi="Arial Narrow" w:cs="Arial"/>
          <w:sz w:val="24"/>
          <w:szCs w:val="24"/>
        </w:rPr>
      </w:pPr>
    </w:p>
    <w:p w:rsidR="004B6BFD" w:rsidRPr="004B6BFD" w:rsidRDefault="00940CBA" w:rsidP="004B6BFD">
      <w:pPr>
        <w:pStyle w:val="Prrafodelista"/>
        <w:numPr>
          <w:ilvl w:val="0"/>
          <w:numId w:val="4"/>
        </w:numPr>
        <w:spacing w:before="100" w:beforeAutospacing="1" w:after="100" w:afterAutospacing="1" w:line="360" w:lineRule="auto"/>
        <w:jc w:val="both"/>
        <w:rPr>
          <w:rFonts w:ascii="Arial Narrow" w:hAnsi="Arial Narrow" w:cs="Arial"/>
          <w:sz w:val="24"/>
          <w:szCs w:val="24"/>
        </w:rPr>
      </w:pPr>
      <w:r w:rsidRPr="00CD728B">
        <w:rPr>
          <w:rFonts w:ascii="Arial Narrow" w:hAnsi="Arial Narrow" w:cs="Arial"/>
          <w:sz w:val="24"/>
          <w:szCs w:val="24"/>
        </w:rPr>
        <w:t xml:space="preserve">Fracción XV, con un ICP de 79.35%, referente al sistema electrónico con el uso de un tabulador que permita consultar el cobro de impuestos, servicios, derechos y aprovechamientos, así como el total de las cantidades recibidas por estos conceptos, como informes de avance trimestral de dichos ingresos. Los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publicaron la información, no obstante, los hipervínculos que redirigen a la información sustantiva están rotos o inactivos.</w:t>
      </w:r>
    </w:p>
    <w:p w:rsidR="004B6BFD" w:rsidRPr="004B6BFD" w:rsidRDefault="004B6BFD" w:rsidP="004B6BFD">
      <w:pPr>
        <w:pStyle w:val="Prrafodelista"/>
        <w:spacing w:before="100" w:beforeAutospacing="1" w:after="100" w:afterAutospacing="1" w:line="360" w:lineRule="auto"/>
        <w:jc w:val="both"/>
        <w:rPr>
          <w:rFonts w:ascii="Arial Narrow" w:hAnsi="Arial Narrow" w:cs="Arial"/>
          <w:sz w:val="24"/>
          <w:szCs w:val="24"/>
        </w:rPr>
      </w:pPr>
    </w:p>
    <w:p w:rsidR="00940CBA" w:rsidRPr="00CD728B" w:rsidRDefault="00940CBA"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De igual forma, las dos fracciones con un ICP ubicadas en el rango de 90% a 99% son las que se detallan a continuación:</w:t>
      </w:r>
    </w:p>
    <w:p w:rsidR="00940CBA" w:rsidRPr="00CD728B" w:rsidRDefault="00940CBA" w:rsidP="002E7D47">
      <w:pPr>
        <w:pStyle w:val="Prrafodelista"/>
        <w:numPr>
          <w:ilvl w:val="0"/>
          <w:numId w:val="3"/>
        </w:numPr>
        <w:spacing w:before="100" w:beforeAutospacing="1" w:after="100" w:afterAutospacing="1" w:line="360" w:lineRule="auto"/>
        <w:jc w:val="both"/>
        <w:rPr>
          <w:rFonts w:ascii="Arial Narrow" w:hAnsi="Arial Narrow" w:cs="Arial"/>
          <w:sz w:val="24"/>
          <w:szCs w:val="24"/>
        </w:rPr>
      </w:pPr>
      <w:r w:rsidRPr="00CD728B">
        <w:rPr>
          <w:rFonts w:ascii="Arial Narrow" w:hAnsi="Arial Narrow" w:cs="Arial"/>
          <w:sz w:val="24"/>
          <w:szCs w:val="24"/>
        </w:rPr>
        <w:t>Fracción XII, con un ICP de 90.31% consistente en los reglamentos de las leyes expedidos en ejercicio de sus atribuciones.</w:t>
      </w:r>
    </w:p>
    <w:p w:rsidR="00940CBA" w:rsidRPr="00CD728B" w:rsidRDefault="00940CBA" w:rsidP="002E7D47">
      <w:pPr>
        <w:pStyle w:val="Prrafodelista"/>
        <w:numPr>
          <w:ilvl w:val="0"/>
          <w:numId w:val="3"/>
        </w:numPr>
        <w:spacing w:before="100" w:beforeAutospacing="1" w:after="100" w:afterAutospacing="1" w:line="360" w:lineRule="auto"/>
        <w:jc w:val="both"/>
        <w:rPr>
          <w:rFonts w:ascii="Arial Narrow" w:hAnsi="Arial Narrow" w:cs="Arial"/>
          <w:sz w:val="24"/>
          <w:szCs w:val="24"/>
        </w:rPr>
      </w:pPr>
      <w:r w:rsidRPr="00CD728B">
        <w:rPr>
          <w:rFonts w:ascii="Arial Narrow" w:hAnsi="Arial Narrow" w:cs="Arial"/>
          <w:sz w:val="24"/>
          <w:szCs w:val="24"/>
        </w:rPr>
        <w:t xml:space="preserve">Fracción XXVI, con un ICP de 91.76% sobre los resultados de estudios de calidad del aire. </w:t>
      </w:r>
    </w:p>
    <w:p w:rsidR="00EE5F08" w:rsidRPr="00CD728B" w:rsidRDefault="00EE5F08" w:rsidP="00EE5F08">
      <w:pPr>
        <w:pStyle w:val="Prrafodelista"/>
        <w:spacing w:before="100" w:beforeAutospacing="1" w:after="100" w:afterAutospacing="1" w:line="360" w:lineRule="auto"/>
        <w:jc w:val="both"/>
        <w:rPr>
          <w:rFonts w:ascii="Arial Narrow" w:hAnsi="Arial Narrow" w:cs="Arial"/>
          <w:sz w:val="24"/>
          <w:szCs w:val="24"/>
        </w:rPr>
      </w:pPr>
    </w:p>
    <w:p w:rsidR="00940CBA" w:rsidRPr="00CD728B" w:rsidRDefault="00940CBA" w:rsidP="002E7D47">
      <w:pPr>
        <w:pStyle w:val="Ttulo3"/>
        <w:numPr>
          <w:ilvl w:val="2"/>
          <w:numId w:val="15"/>
        </w:numPr>
        <w:contextualSpacing/>
        <w:jc w:val="both"/>
        <w:rPr>
          <w:rFonts w:ascii="Arial Narrow" w:hAnsi="Arial Narrow"/>
          <w:b/>
          <w:color w:val="auto"/>
        </w:rPr>
      </w:pPr>
      <w:bookmarkStart w:id="16" w:name="_Toc14293717"/>
      <w:r w:rsidRPr="00CD728B">
        <w:rPr>
          <w:rFonts w:ascii="Arial Narrow" w:hAnsi="Arial Narrow"/>
          <w:b/>
          <w:color w:val="auto"/>
        </w:rPr>
        <w:t xml:space="preserve">Análisis del </w:t>
      </w:r>
      <w:r w:rsidR="009D7771">
        <w:rPr>
          <w:rFonts w:ascii="Arial Narrow" w:hAnsi="Arial Narrow"/>
          <w:b/>
          <w:color w:val="auto"/>
        </w:rPr>
        <w:t>Artículo</w:t>
      </w:r>
      <w:r w:rsidRPr="00CD728B">
        <w:rPr>
          <w:rFonts w:ascii="Arial Narrow" w:hAnsi="Arial Narrow"/>
          <w:b/>
          <w:color w:val="auto"/>
        </w:rPr>
        <w:t xml:space="preserve"> 143</w:t>
      </w:r>
      <w:bookmarkEnd w:id="16"/>
    </w:p>
    <w:p w:rsidR="00940CBA" w:rsidRPr="00CD728B" w:rsidRDefault="00940CBA" w:rsidP="002E7D47">
      <w:pPr>
        <w:spacing w:before="100" w:beforeAutospacing="1" w:after="100" w:afterAutospacing="1" w:line="360" w:lineRule="auto"/>
        <w:contextualSpacing/>
        <w:jc w:val="both"/>
        <w:rPr>
          <w:rFonts w:ascii="Arial Narrow" w:hAnsi="Arial Narrow" w:cs="Arial"/>
          <w:b/>
          <w:bCs/>
          <w:sz w:val="24"/>
          <w:szCs w:val="24"/>
        </w:rPr>
      </w:pPr>
      <w:r w:rsidRPr="00CD728B">
        <w:rPr>
          <w:rFonts w:ascii="Arial Narrow" w:hAnsi="Arial Narrow" w:cs="Arial"/>
          <w:b/>
          <w:bCs/>
          <w:noProof/>
          <w:sz w:val="24"/>
          <w:szCs w:val="24"/>
          <w:lang w:val="es-MX" w:eastAsia="es-MX"/>
        </w:rPr>
        <w:drawing>
          <wp:inline distT="0" distB="0" distL="0" distR="0" wp14:anchorId="6F4876F3" wp14:editId="4A083E70">
            <wp:extent cx="5612130" cy="2470150"/>
            <wp:effectExtent l="0" t="0" r="7620" b="635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hatsApp Image 2019-07-02 at 1.14.32 PM.jpeg"/>
                    <pic:cNvPicPr/>
                  </pic:nvPicPr>
                  <pic:blipFill>
                    <a:blip r:embed="rId11">
                      <a:extLst>
                        <a:ext uri="{28A0092B-C50C-407E-A947-70E740481C1C}">
                          <a14:useLocalDpi xmlns:a14="http://schemas.microsoft.com/office/drawing/2010/main" val="0"/>
                        </a:ext>
                      </a:extLst>
                    </a:blip>
                    <a:stretch>
                      <a:fillRect/>
                    </a:stretch>
                  </pic:blipFill>
                  <pic:spPr>
                    <a:xfrm>
                      <a:off x="0" y="0"/>
                      <a:ext cx="5612130" cy="2470150"/>
                    </a:xfrm>
                    <a:prstGeom prst="rect">
                      <a:avLst/>
                    </a:prstGeom>
                  </pic:spPr>
                </pic:pic>
              </a:graphicData>
            </a:graphic>
          </wp:inline>
        </w:drawing>
      </w:r>
    </w:p>
    <w:p w:rsidR="00EE5F08" w:rsidRPr="00CD728B" w:rsidRDefault="00EE5F08" w:rsidP="002E7D47">
      <w:pPr>
        <w:spacing w:before="100" w:beforeAutospacing="1" w:after="100" w:afterAutospacing="1" w:line="360" w:lineRule="auto"/>
        <w:contextualSpacing/>
        <w:jc w:val="both"/>
        <w:rPr>
          <w:rFonts w:ascii="Arial Narrow" w:hAnsi="Arial Narrow" w:cs="Arial"/>
          <w:sz w:val="24"/>
          <w:szCs w:val="24"/>
        </w:rPr>
      </w:pPr>
    </w:p>
    <w:p w:rsidR="00940CBA" w:rsidRPr="00CD728B" w:rsidRDefault="00940CBA"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 xml:space="preserve">Los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de este ámbito de gobierno alcanzaron un ICP de 85.54%; ya que 16</w:t>
      </w:r>
      <w:r w:rsidRPr="00CD728B">
        <w:rPr>
          <w:rStyle w:val="Refdenotaalpie"/>
          <w:rFonts w:ascii="Arial Narrow" w:hAnsi="Arial Narrow" w:cs="Arial"/>
          <w:sz w:val="24"/>
          <w:szCs w:val="24"/>
        </w:rPr>
        <w:footnoteReference w:id="10"/>
      </w:r>
      <w:r w:rsidRPr="00CD728B">
        <w:rPr>
          <w:rFonts w:ascii="Arial Narrow" w:hAnsi="Arial Narrow" w:cs="Arial"/>
          <w:sz w:val="24"/>
          <w:szCs w:val="24"/>
        </w:rPr>
        <w:t xml:space="preserve">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cumplieron totalmente, tres</w:t>
      </w:r>
      <w:r w:rsidRPr="00CD728B">
        <w:rPr>
          <w:rStyle w:val="Refdenotaalpie"/>
          <w:rFonts w:ascii="Arial Narrow" w:hAnsi="Arial Narrow" w:cs="Arial"/>
          <w:sz w:val="24"/>
          <w:szCs w:val="24"/>
        </w:rPr>
        <w:footnoteReference w:id="11"/>
      </w:r>
      <w:r w:rsidRPr="00CD728B">
        <w:rPr>
          <w:rFonts w:ascii="Arial Narrow" w:hAnsi="Arial Narrow" w:cs="Arial"/>
          <w:sz w:val="24"/>
          <w:szCs w:val="24"/>
        </w:rPr>
        <w:t xml:space="preserve">  cumplieron parcialmente, tres</w:t>
      </w:r>
      <w:r w:rsidRPr="00CD728B">
        <w:rPr>
          <w:rStyle w:val="Refdenotaalpie"/>
          <w:rFonts w:ascii="Arial Narrow" w:hAnsi="Arial Narrow" w:cs="Arial"/>
          <w:sz w:val="24"/>
          <w:szCs w:val="24"/>
        </w:rPr>
        <w:footnoteReference w:id="12"/>
      </w:r>
      <w:r w:rsidRPr="00CD728B">
        <w:rPr>
          <w:rFonts w:ascii="Arial Narrow" w:hAnsi="Arial Narrow" w:cs="Arial"/>
          <w:sz w:val="24"/>
          <w:szCs w:val="24"/>
        </w:rPr>
        <w:t xml:space="preserve"> incumplieron parcialmente y la Secretaría de Cultura incumplió totalmente, por lo que se encuentra dentro del área de cumplimiento parcial. Las ventanas de oportunidad que tienen los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son actualizar la información al cuarto trimestre del 2018 y en los casos que no se generó información se funde y motive tal situación; con la finalidad de no dejar en incertidumbre a las personas que consulten la misma. </w:t>
      </w:r>
    </w:p>
    <w:p w:rsidR="00940CBA" w:rsidRPr="00CD728B" w:rsidRDefault="00940CBA" w:rsidP="002E7D47">
      <w:pPr>
        <w:pStyle w:val="Ttulo3"/>
        <w:numPr>
          <w:ilvl w:val="2"/>
          <w:numId w:val="15"/>
        </w:numPr>
        <w:contextualSpacing/>
        <w:jc w:val="both"/>
        <w:rPr>
          <w:rFonts w:ascii="Arial Narrow" w:hAnsi="Arial Narrow"/>
          <w:b/>
          <w:color w:val="auto"/>
        </w:rPr>
      </w:pPr>
      <w:bookmarkStart w:id="17" w:name="_Toc14293718"/>
      <w:r w:rsidRPr="00CD728B">
        <w:rPr>
          <w:rFonts w:ascii="Arial Narrow" w:hAnsi="Arial Narrow"/>
          <w:b/>
          <w:color w:val="auto"/>
        </w:rPr>
        <w:t xml:space="preserve">Análisis del </w:t>
      </w:r>
      <w:r w:rsidR="009D7771">
        <w:rPr>
          <w:rFonts w:ascii="Arial Narrow" w:hAnsi="Arial Narrow"/>
          <w:b/>
          <w:color w:val="auto"/>
        </w:rPr>
        <w:t>Artículo</w:t>
      </w:r>
      <w:r w:rsidRPr="00CD728B">
        <w:rPr>
          <w:rFonts w:ascii="Arial Narrow" w:hAnsi="Arial Narrow"/>
          <w:b/>
          <w:color w:val="auto"/>
        </w:rPr>
        <w:t xml:space="preserve"> 145</w:t>
      </w:r>
      <w:bookmarkEnd w:id="17"/>
    </w:p>
    <w:p w:rsidR="00940CBA" w:rsidRPr="00CD728B" w:rsidRDefault="00940CBA" w:rsidP="002E7D47">
      <w:pPr>
        <w:spacing w:before="100" w:beforeAutospacing="1" w:after="100" w:afterAutospacing="1" w:line="360" w:lineRule="auto"/>
        <w:contextualSpacing/>
        <w:jc w:val="both"/>
        <w:rPr>
          <w:rFonts w:ascii="Arial Narrow" w:hAnsi="Arial Narrow" w:cs="Arial"/>
          <w:b/>
          <w:bCs/>
          <w:sz w:val="24"/>
          <w:szCs w:val="24"/>
        </w:rPr>
      </w:pPr>
      <w:r w:rsidRPr="00CD728B">
        <w:rPr>
          <w:rFonts w:ascii="Arial Narrow" w:hAnsi="Arial Narrow" w:cs="Arial"/>
          <w:b/>
          <w:bCs/>
          <w:noProof/>
          <w:sz w:val="24"/>
          <w:szCs w:val="24"/>
          <w:lang w:val="es-MX" w:eastAsia="es-MX"/>
        </w:rPr>
        <w:drawing>
          <wp:inline distT="0" distB="0" distL="0" distR="0" wp14:anchorId="395039C3" wp14:editId="55C4B6F8">
            <wp:extent cx="5476875" cy="2847975"/>
            <wp:effectExtent l="0" t="0" r="9525" b="952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hatsApp Image 2019-07-02 at 1.15.28 PM.jpeg"/>
                    <pic:cNvPicPr/>
                  </pic:nvPicPr>
                  <pic:blipFill>
                    <a:blip r:embed="rId12">
                      <a:extLst>
                        <a:ext uri="{28A0092B-C50C-407E-A947-70E740481C1C}">
                          <a14:useLocalDpi xmlns:a14="http://schemas.microsoft.com/office/drawing/2010/main" val="0"/>
                        </a:ext>
                      </a:extLst>
                    </a:blip>
                    <a:stretch>
                      <a:fillRect/>
                    </a:stretch>
                  </pic:blipFill>
                  <pic:spPr>
                    <a:xfrm>
                      <a:off x="0" y="0"/>
                      <a:ext cx="5476875" cy="2847975"/>
                    </a:xfrm>
                    <a:prstGeom prst="rect">
                      <a:avLst/>
                    </a:prstGeom>
                  </pic:spPr>
                </pic:pic>
              </a:graphicData>
            </a:graphic>
          </wp:inline>
        </w:drawing>
      </w:r>
    </w:p>
    <w:p w:rsidR="00EE5F08" w:rsidRPr="00CD728B" w:rsidRDefault="00EE5F08" w:rsidP="002E7D47">
      <w:pPr>
        <w:spacing w:before="100" w:beforeAutospacing="1" w:after="100" w:afterAutospacing="1" w:line="360" w:lineRule="auto"/>
        <w:contextualSpacing/>
        <w:jc w:val="both"/>
        <w:rPr>
          <w:rFonts w:ascii="Arial Narrow" w:hAnsi="Arial Narrow" w:cs="Arial"/>
          <w:sz w:val="24"/>
          <w:szCs w:val="24"/>
        </w:rPr>
      </w:pPr>
    </w:p>
    <w:p w:rsidR="00940CBA" w:rsidRPr="00CD728B" w:rsidRDefault="00940CBA"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lastRenderedPageBreak/>
        <w:t xml:space="preserve">En lo que respecta a este </w:t>
      </w:r>
      <w:r w:rsidR="009D7771">
        <w:rPr>
          <w:rFonts w:ascii="Arial Narrow" w:hAnsi="Arial Narrow" w:cs="Arial"/>
          <w:sz w:val="24"/>
          <w:szCs w:val="24"/>
        </w:rPr>
        <w:t>Artículo</w:t>
      </w:r>
      <w:r w:rsidRPr="00CD728B">
        <w:rPr>
          <w:rFonts w:ascii="Arial Narrow" w:hAnsi="Arial Narrow" w:cs="Arial"/>
          <w:sz w:val="24"/>
          <w:szCs w:val="24"/>
        </w:rPr>
        <w:t xml:space="preserve">, la Administración Central obtuvo un ICP de 97.55%; los 23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cumplieron cabalmente con una señalización fácilmente identificable y accesible que permite a la ciudadanía ingresar a sus sitios de transparencia. La Secretaría de Cultura fue la única que no contó con la señalización debida, por lo que deberá generarla y plasmarla en su portal institucional. </w:t>
      </w:r>
    </w:p>
    <w:p w:rsidR="00940CBA" w:rsidRPr="00CD728B" w:rsidRDefault="00940CBA" w:rsidP="002E7D47">
      <w:pPr>
        <w:pStyle w:val="Ttulo3"/>
        <w:numPr>
          <w:ilvl w:val="2"/>
          <w:numId w:val="15"/>
        </w:numPr>
        <w:contextualSpacing/>
        <w:jc w:val="both"/>
        <w:rPr>
          <w:rFonts w:ascii="Arial Narrow" w:hAnsi="Arial Narrow"/>
          <w:b/>
          <w:color w:val="auto"/>
        </w:rPr>
      </w:pPr>
      <w:bookmarkStart w:id="18" w:name="_Toc14293719"/>
      <w:r w:rsidRPr="00CD728B">
        <w:rPr>
          <w:rFonts w:ascii="Arial Narrow" w:hAnsi="Arial Narrow"/>
          <w:b/>
          <w:color w:val="auto"/>
        </w:rPr>
        <w:t xml:space="preserve">Análisis del </w:t>
      </w:r>
      <w:r w:rsidR="009D7771">
        <w:rPr>
          <w:rFonts w:ascii="Arial Narrow" w:hAnsi="Arial Narrow"/>
          <w:b/>
          <w:color w:val="auto"/>
        </w:rPr>
        <w:t>Artículo</w:t>
      </w:r>
      <w:r w:rsidRPr="00CD728B">
        <w:rPr>
          <w:rFonts w:ascii="Arial Narrow" w:hAnsi="Arial Narrow"/>
          <w:b/>
          <w:color w:val="auto"/>
        </w:rPr>
        <w:t xml:space="preserve"> 146</w:t>
      </w:r>
      <w:bookmarkEnd w:id="18"/>
    </w:p>
    <w:p w:rsidR="00940CBA" w:rsidRPr="00CD728B" w:rsidRDefault="00940CBA" w:rsidP="002E7D47">
      <w:pPr>
        <w:spacing w:before="100" w:beforeAutospacing="1" w:after="100" w:afterAutospacing="1" w:line="360" w:lineRule="auto"/>
        <w:contextualSpacing/>
        <w:jc w:val="both"/>
        <w:rPr>
          <w:rFonts w:ascii="Arial Narrow" w:hAnsi="Arial Narrow" w:cs="Arial"/>
          <w:b/>
          <w:bCs/>
          <w:sz w:val="24"/>
          <w:szCs w:val="24"/>
        </w:rPr>
      </w:pPr>
      <w:r w:rsidRPr="00CD728B">
        <w:rPr>
          <w:rFonts w:ascii="Arial Narrow" w:hAnsi="Arial Narrow" w:cs="Arial"/>
          <w:b/>
          <w:bCs/>
          <w:noProof/>
          <w:sz w:val="24"/>
          <w:szCs w:val="24"/>
          <w:lang w:val="es-MX" w:eastAsia="es-MX"/>
        </w:rPr>
        <w:drawing>
          <wp:inline distT="0" distB="0" distL="0" distR="0" wp14:anchorId="76AC2CB8" wp14:editId="463C8CE0">
            <wp:extent cx="5562600" cy="323850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hatsApp Image 2019-07-02 at 1.09.10 PM.jpeg"/>
                    <pic:cNvPicPr/>
                  </pic:nvPicPr>
                  <pic:blipFill>
                    <a:blip r:embed="rId13">
                      <a:extLst>
                        <a:ext uri="{28A0092B-C50C-407E-A947-70E740481C1C}">
                          <a14:useLocalDpi xmlns:a14="http://schemas.microsoft.com/office/drawing/2010/main" val="0"/>
                        </a:ext>
                      </a:extLst>
                    </a:blip>
                    <a:stretch>
                      <a:fillRect/>
                    </a:stretch>
                  </pic:blipFill>
                  <pic:spPr>
                    <a:xfrm>
                      <a:off x="0" y="0"/>
                      <a:ext cx="5562600" cy="3238500"/>
                    </a:xfrm>
                    <a:prstGeom prst="rect">
                      <a:avLst/>
                    </a:prstGeom>
                  </pic:spPr>
                </pic:pic>
              </a:graphicData>
            </a:graphic>
          </wp:inline>
        </w:drawing>
      </w:r>
    </w:p>
    <w:p w:rsidR="00EE5F08" w:rsidRPr="00CD728B" w:rsidRDefault="00EE5F08" w:rsidP="002E7D47">
      <w:pPr>
        <w:spacing w:before="100" w:beforeAutospacing="1" w:after="100" w:afterAutospacing="1" w:line="360" w:lineRule="auto"/>
        <w:contextualSpacing/>
        <w:jc w:val="both"/>
        <w:rPr>
          <w:rFonts w:ascii="Arial Narrow" w:hAnsi="Arial Narrow" w:cs="Arial"/>
          <w:sz w:val="24"/>
          <w:szCs w:val="24"/>
        </w:rPr>
      </w:pPr>
    </w:p>
    <w:p w:rsidR="00940CBA" w:rsidRPr="00CD728B" w:rsidRDefault="00940CBA"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Este ámbito de gobierno obtuvo un ICP de 47.3%; debido a que cinco</w:t>
      </w:r>
      <w:r w:rsidRPr="00CD728B">
        <w:rPr>
          <w:rStyle w:val="Refdenotaalpie"/>
          <w:rFonts w:ascii="Arial Narrow" w:hAnsi="Arial Narrow" w:cs="Arial"/>
          <w:sz w:val="24"/>
          <w:szCs w:val="24"/>
        </w:rPr>
        <w:footnoteReference w:id="13"/>
      </w:r>
      <w:r w:rsidRPr="00CD728B">
        <w:rPr>
          <w:rFonts w:ascii="Arial Narrow" w:hAnsi="Arial Narrow" w:cs="Arial"/>
          <w:sz w:val="24"/>
          <w:szCs w:val="24"/>
        </w:rPr>
        <w:t xml:space="preserve">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cumplieron totalmente con lo establecido en el </w:t>
      </w:r>
      <w:r w:rsidR="009D7771">
        <w:rPr>
          <w:rFonts w:ascii="Arial Narrow" w:hAnsi="Arial Narrow" w:cs="Arial"/>
          <w:sz w:val="24"/>
          <w:szCs w:val="24"/>
        </w:rPr>
        <w:t>Artículo</w:t>
      </w:r>
      <w:r w:rsidRPr="00CD728B">
        <w:rPr>
          <w:rFonts w:ascii="Arial Narrow" w:hAnsi="Arial Narrow" w:cs="Arial"/>
          <w:sz w:val="24"/>
          <w:szCs w:val="24"/>
        </w:rPr>
        <w:t>, cuatro</w:t>
      </w:r>
      <w:r w:rsidRPr="00CD728B">
        <w:rPr>
          <w:rStyle w:val="Refdenotaalpie"/>
          <w:rFonts w:ascii="Arial Narrow" w:hAnsi="Arial Narrow" w:cs="Arial"/>
          <w:sz w:val="24"/>
          <w:szCs w:val="24"/>
        </w:rPr>
        <w:footnoteReference w:id="14"/>
      </w:r>
      <w:r w:rsidRPr="00CD728B">
        <w:rPr>
          <w:rFonts w:ascii="Arial Narrow" w:hAnsi="Arial Narrow" w:cs="Arial"/>
          <w:sz w:val="24"/>
          <w:szCs w:val="24"/>
        </w:rPr>
        <w:t xml:space="preserve"> tuvieron un cumplimiento parcial, cinco</w:t>
      </w:r>
      <w:r w:rsidRPr="00CD728B">
        <w:rPr>
          <w:rStyle w:val="Refdenotaalpie"/>
          <w:rFonts w:ascii="Arial Narrow" w:hAnsi="Arial Narrow" w:cs="Arial"/>
          <w:sz w:val="24"/>
          <w:szCs w:val="24"/>
        </w:rPr>
        <w:footnoteReference w:id="15"/>
      </w:r>
      <w:r w:rsidRPr="00CD728B">
        <w:rPr>
          <w:rFonts w:ascii="Arial Narrow" w:hAnsi="Arial Narrow" w:cs="Arial"/>
          <w:sz w:val="24"/>
          <w:szCs w:val="24"/>
        </w:rPr>
        <w:t xml:space="preserve"> un </w:t>
      </w:r>
      <w:r w:rsidRPr="00CD728B">
        <w:rPr>
          <w:rFonts w:ascii="Arial Narrow" w:hAnsi="Arial Narrow" w:cs="Arial"/>
          <w:sz w:val="24"/>
          <w:szCs w:val="24"/>
        </w:rPr>
        <w:lastRenderedPageBreak/>
        <w:t>incumplimiento parcial y nueve</w:t>
      </w:r>
      <w:r w:rsidRPr="00CD728B">
        <w:rPr>
          <w:rStyle w:val="Refdenotaalpie"/>
          <w:rFonts w:ascii="Arial Narrow" w:hAnsi="Arial Narrow" w:cs="Arial"/>
          <w:sz w:val="24"/>
          <w:szCs w:val="24"/>
        </w:rPr>
        <w:footnoteReference w:id="16"/>
      </w:r>
      <w:r w:rsidRPr="00CD728B">
        <w:rPr>
          <w:rFonts w:ascii="Arial Narrow" w:hAnsi="Arial Narrow" w:cs="Arial"/>
          <w:sz w:val="24"/>
          <w:szCs w:val="24"/>
        </w:rPr>
        <w:t xml:space="preserve"> u</w:t>
      </w:r>
      <w:r w:rsidR="00B015A8" w:rsidRPr="00CD728B">
        <w:rPr>
          <w:rFonts w:ascii="Arial Narrow" w:hAnsi="Arial Narrow" w:cs="Arial"/>
          <w:sz w:val="24"/>
          <w:szCs w:val="24"/>
        </w:rPr>
        <w:t>n incumplimiento total. Por</w:t>
      </w:r>
      <w:r w:rsidRPr="00CD728B">
        <w:rPr>
          <w:rFonts w:ascii="Arial Narrow" w:hAnsi="Arial Narrow" w:cs="Arial"/>
          <w:sz w:val="24"/>
          <w:szCs w:val="24"/>
        </w:rPr>
        <w:t xml:space="preserve"> lo anterior, los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deberán publicar y actualizar la información; puesto que varios no proporcionan el calendario de actualización de la normatividad en materia de las obligaciones de transparencia.  </w:t>
      </w:r>
    </w:p>
    <w:p w:rsidR="00940CBA" w:rsidRPr="00CD728B" w:rsidRDefault="00940CBA" w:rsidP="002E7D47">
      <w:pPr>
        <w:pStyle w:val="Ttulo3"/>
        <w:numPr>
          <w:ilvl w:val="2"/>
          <w:numId w:val="15"/>
        </w:numPr>
        <w:contextualSpacing/>
        <w:jc w:val="both"/>
        <w:rPr>
          <w:rFonts w:ascii="Arial Narrow" w:hAnsi="Arial Narrow"/>
          <w:b/>
          <w:color w:val="auto"/>
        </w:rPr>
      </w:pPr>
      <w:bookmarkStart w:id="19" w:name="_Toc14293720"/>
      <w:r w:rsidRPr="00CD728B">
        <w:rPr>
          <w:rFonts w:ascii="Arial Narrow" w:hAnsi="Arial Narrow"/>
          <w:b/>
          <w:color w:val="auto"/>
        </w:rPr>
        <w:t xml:space="preserve">Análisis del </w:t>
      </w:r>
      <w:r w:rsidR="009D7771">
        <w:rPr>
          <w:rFonts w:ascii="Arial Narrow" w:hAnsi="Arial Narrow"/>
          <w:b/>
          <w:color w:val="auto"/>
        </w:rPr>
        <w:t>Artículo</w:t>
      </w:r>
      <w:r w:rsidRPr="00CD728B">
        <w:rPr>
          <w:rFonts w:ascii="Arial Narrow" w:hAnsi="Arial Narrow"/>
          <w:b/>
          <w:color w:val="auto"/>
        </w:rPr>
        <w:t xml:space="preserve"> 147</w:t>
      </w:r>
      <w:bookmarkEnd w:id="19"/>
      <w:r w:rsidRPr="00CD728B">
        <w:rPr>
          <w:rFonts w:ascii="Arial Narrow" w:hAnsi="Arial Narrow"/>
          <w:b/>
          <w:color w:val="auto"/>
        </w:rPr>
        <w:t xml:space="preserve"> </w:t>
      </w:r>
    </w:p>
    <w:p w:rsidR="00940CBA" w:rsidRPr="00CD728B" w:rsidRDefault="00940CBA" w:rsidP="002E7D47">
      <w:pPr>
        <w:spacing w:before="100" w:beforeAutospacing="1" w:after="100" w:afterAutospacing="1" w:line="360" w:lineRule="auto"/>
        <w:contextualSpacing/>
        <w:jc w:val="both"/>
        <w:rPr>
          <w:rFonts w:ascii="Arial Narrow" w:hAnsi="Arial Narrow" w:cs="Arial"/>
          <w:b/>
          <w:bCs/>
          <w:sz w:val="24"/>
          <w:szCs w:val="24"/>
        </w:rPr>
      </w:pPr>
      <w:r w:rsidRPr="00CD728B">
        <w:rPr>
          <w:rFonts w:ascii="Arial Narrow" w:hAnsi="Arial Narrow" w:cs="Arial"/>
          <w:b/>
          <w:bCs/>
          <w:noProof/>
          <w:sz w:val="24"/>
          <w:szCs w:val="24"/>
          <w:lang w:val="es-MX" w:eastAsia="es-MX"/>
        </w:rPr>
        <w:drawing>
          <wp:inline distT="0" distB="0" distL="0" distR="0" wp14:anchorId="1BF534EF" wp14:editId="28FC7A36">
            <wp:extent cx="5612130" cy="2204720"/>
            <wp:effectExtent l="0" t="0" r="7620" b="508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hatsApp Image 2019-07-02 at 1.13.36 PM.jpeg"/>
                    <pic:cNvPicPr/>
                  </pic:nvPicPr>
                  <pic:blipFill>
                    <a:blip r:embed="rId14">
                      <a:extLst>
                        <a:ext uri="{28A0092B-C50C-407E-A947-70E740481C1C}">
                          <a14:useLocalDpi xmlns:a14="http://schemas.microsoft.com/office/drawing/2010/main" val="0"/>
                        </a:ext>
                      </a:extLst>
                    </a:blip>
                    <a:stretch>
                      <a:fillRect/>
                    </a:stretch>
                  </pic:blipFill>
                  <pic:spPr>
                    <a:xfrm>
                      <a:off x="0" y="0"/>
                      <a:ext cx="5612130" cy="2204720"/>
                    </a:xfrm>
                    <a:prstGeom prst="rect">
                      <a:avLst/>
                    </a:prstGeom>
                  </pic:spPr>
                </pic:pic>
              </a:graphicData>
            </a:graphic>
          </wp:inline>
        </w:drawing>
      </w:r>
    </w:p>
    <w:p w:rsidR="00EE5F08" w:rsidRPr="00CD728B" w:rsidRDefault="00EE5F08" w:rsidP="002E7D47">
      <w:pPr>
        <w:spacing w:before="100" w:beforeAutospacing="1" w:after="100" w:afterAutospacing="1" w:line="360" w:lineRule="auto"/>
        <w:contextualSpacing/>
        <w:jc w:val="both"/>
        <w:rPr>
          <w:rFonts w:ascii="Arial Narrow" w:hAnsi="Arial Narrow" w:cs="Arial"/>
          <w:sz w:val="24"/>
          <w:szCs w:val="24"/>
        </w:rPr>
      </w:pPr>
    </w:p>
    <w:p w:rsidR="00AF69FA" w:rsidRPr="00CD728B" w:rsidRDefault="00940CBA" w:rsidP="004B6BFD">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Por último, la Administración Central obtuvo un ICP de 76.3%; debido a que 12</w:t>
      </w:r>
      <w:r w:rsidRPr="00CD728B">
        <w:rPr>
          <w:rStyle w:val="Refdenotaalpie"/>
          <w:rFonts w:ascii="Arial Narrow" w:hAnsi="Arial Narrow" w:cs="Arial"/>
          <w:sz w:val="24"/>
          <w:szCs w:val="24"/>
        </w:rPr>
        <w:footnoteReference w:id="17"/>
      </w:r>
      <w:r w:rsidRPr="00CD728B">
        <w:rPr>
          <w:rFonts w:ascii="Arial Narrow" w:hAnsi="Arial Narrow" w:cs="Arial"/>
          <w:sz w:val="24"/>
          <w:szCs w:val="24"/>
        </w:rPr>
        <w:t xml:space="preserve">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tuvieron un cumplimiento total, cuatro</w:t>
      </w:r>
      <w:r w:rsidRPr="00CD728B">
        <w:rPr>
          <w:rStyle w:val="Refdenotaalpie"/>
          <w:rFonts w:ascii="Arial Narrow" w:hAnsi="Arial Narrow" w:cs="Arial"/>
          <w:sz w:val="24"/>
          <w:szCs w:val="24"/>
        </w:rPr>
        <w:footnoteReference w:id="18"/>
      </w:r>
      <w:r w:rsidRPr="00CD728B">
        <w:rPr>
          <w:rFonts w:ascii="Arial Narrow" w:hAnsi="Arial Narrow" w:cs="Arial"/>
          <w:sz w:val="24"/>
          <w:szCs w:val="24"/>
        </w:rPr>
        <w:t xml:space="preserve"> un cumplimiento parcial, cinco</w:t>
      </w:r>
      <w:r w:rsidRPr="00CD728B">
        <w:rPr>
          <w:rStyle w:val="Refdenotaalpie"/>
          <w:rFonts w:ascii="Arial Narrow" w:hAnsi="Arial Narrow" w:cs="Arial"/>
          <w:sz w:val="24"/>
          <w:szCs w:val="24"/>
        </w:rPr>
        <w:footnoteReference w:id="19"/>
      </w:r>
      <w:r w:rsidRPr="00CD728B">
        <w:rPr>
          <w:rFonts w:ascii="Arial Narrow" w:hAnsi="Arial Narrow" w:cs="Arial"/>
          <w:sz w:val="24"/>
          <w:szCs w:val="24"/>
        </w:rPr>
        <w:t xml:space="preserve"> un incumplimiento parcial y dos</w:t>
      </w:r>
      <w:r w:rsidRPr="00CD728B">
        <w:rPr>
          <w:rStyle w:val="Refdenotaalpie"/>
          <w:rFonts w:ascii="Arial Narrow" w:hAnsi="Arial Narrow" w:cs="Arial"/>
          <w:sz w:val="24"/>
          <w:szCs w:val="24"/>
        </w:rPr>
        <w:footnoteReference w:id="20"/>
      </w:r>
      <w:r w:rsidRPr="00CD728B">
        <w:rPr>
          <w:rFonts w:ascii="Arial Narrow" w:hAnsi="Arial Narrow" w:cs="Arial"/>
          <w:sz w:val="24"/>
          <w:szCs w:val="24"/>
        </w:rPr>
        <w:t xml:space="preserve"> un incumplimiento total. Los errores que cometieron los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con mayor frecuencia fueron los siguientes: Se identificó que no actualizaron la información conforme lo indica la </w:t>
      </w:r>
      <w:r w:rsidRPr="00CD728B">
        <w:rPr>
          <w:rFonts w:ascii="Arial Narrow" w:hAnsi="Arial Narrow" w:cs="Arial"/>
          <w:sz w:val="24"/>
          <w:szCs w:val="24"/>
        </w:rPr>
        <w:lastRenderedPageBreak/>
        <w:t xml:space="preserve">normatividad correspondiente y en algunos casos no publicaron la información establecida en el </w:t>
      </w:r>
      <w:r w:rsidR="009D7771">
        <w:rPr>
          <w:rFonts w:ascii="Arial Narrow" w:hAnsi="Arial Narrow" w:cs="Arial"/>
          <w:sz w:val="24"/>
          <w:szCs w:val="24"/>
        </w:rPr>
        <w:t>Artículo</w:t>
      </w:r>
      <w:r w:rsidRPr="00CD728B">
        <w:rPr>
          <w:rFonts w:ascii="Arial Narrow" w:hAnsi="Arial Narrow" w:cs="Arial"/>
          <w:sz w:val="24"/>
          <w:szCs w:val="24"/>
        </w:rPr>
        <w:t>, por lo que deberán mantenerla vige</w:t>
      </w:r>
      <w:r w:rsidR="00EE5F08" w:rsidRPr="00CD728B">
        <w:rPr>
          <w:rFonts w:ascii="Arial Narrow" w:hAnsi="Arial Narrow" w:cs="Arial"/>
          <w:sz w:val="24"/>
          <w:szCs w:val="24"/>
        </w:rPr>
        <w:t>nte para la consulta ciudadana.</w:t>
      </w:r>
      <w:r w:rsidR="00AF69FA" w:rsidRPr="00CD728B">
        <w:rPr>
          <w:rFonts w:ascii="Arial Narrow" w:hAnsi="Arial Narrow" w:cs="Arial"/>
          <w:sz w:val="24"/>
          <w:szCs w:val="24"/>
        </w:rPr>
        <w:br w:type="page"/>
      </w:r>
    </w:p>
    <w:p w:rsidR="00AF69FA" w:rsidRPr="00CD728B" w:rsidRDefault="00674513" w:rsidP="002E7D47">
      <w:pPr>
        <w:pStyle w:val="Ttulo2"/>
        <w:numPr>
          <w:ilvl w:val="1"/>
          <w:numId w:val="15"/>
        </w:numPr>
        <w:contextualSpacing/>
        <w:jc w:val="both"/>
        <w:rPr>
          <w:rFonts w:ascii="Arial Narrow" w:hAnsi="Arial Narrow"/>
          <w:b/>
          <w:color w:val="auto"/>
          <w:sz w:val="24"/>
          <w:szCs w:val="24"/>
        </w:rPr>
      </w:pPr>
      <w:bookmarkStart w:id="20" w:name="_Toc14293721"/>
      <w:r w:rsidRPr="00CD728B">
        <w:rPr>
          <w:rFonts w:ascii="Arial Narrow" w:hAnsi="Arial Narrow"/>
          <w:b/>
          <w:color w:val="auto"/>
          <w:sz w:val="24"/>
          <w:szCs w:val="24"/>
        </w:rPr>
        <w:lastRenderedPageBreak/>
        <w:t>ÓRGANOS DESCONCENTRADOS</w:t>
      </w:r>
      <w:bookmarkEnd w:id="20"/>
      <w:r w:rsidRPr="00CD728B">
        <w:rPr>
          <w:rFonts w:ascii="Arial Narrow" w:hAnsi="Arial Narrow"/>
          <w:b/>
          <w:color w:val="auto"/>
          <w:sz w:val="24"/>
          <w:szCs w:val="24"/>
        </w:rPr>
        <w:t xml:space="preserve"> </w:t>
      </w:r>
    </w:p>
    <w:p w:rsidR="00AF69FA" w:rsidRPr="00CD728B" w:rsidRDefault="00AF69FA"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 xml:space="preserve">El ámbito del Poder Ejecutivo en lo que corresponde a los órganos desconcentrados, al 31 de diciembre de 2018 estaba conformado por 49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de conformidad con el Padrón. </w:t>
      </w:r>
    </w:p>
    <w:p w:rsidR="00AF69FA" w:rsidRPr="00CD728B" w:rsidRDefault="00AF69FA"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 xml:space="preserve">Los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así como su </w:t>
      </w:r>
      <w:r w:rsidR="00623A69">
        <w:rPr>
          <w:rFonts w:ascii="Arial Narrow" w:hAnsi="Arial Narrow" w:cs="Arial"/>
          <w:sz w:val="24"/>
          <w:szCs w:val="24"/>
        </w:rPr>
        <w:t>ICOT-PT</w:t>
      </w:r>
      <w:r w:rsidRPr="00CD728B">
        <w:rPr>
          <w:rFonts w:ascii="Arial Narrow" w:hAnsi="Arial Narrow" w:cs="Arial"/>
          <w:sz w:val="24"/>
          <w:szCs w:val="24"/>
        </w:rPr>
        <w:t xml:space="preserve">, ICOT-PNT y el IGOT se presentan en la siguiente tabla, ordenados de forma descendente, respecto del IGOT: </w:t>
      </w:r>
    </w:p>
    <w:p w:rsidR="00EE5F08" w:rsidRPr="00CD728B" w:rsidRDefault="00EE5F08" w:rsidP="002E7D47">
      <w:pPr>
        <w:spacing w:before="100" w:beforeAutospacing="1" w:after="100" w:afterAutospacing="1" w:line="360" w:lineRule="auto"/>
        <w:contextualSpacing/>
        <w:jc w:val="both"/>
        <w:rPr>
          <w:rFonts w:ascii="Arial Narrow" w:hAnsi="Arial Narrow" w:cs="Arial"/>
          <w:sz w:val="24"/>
          <w:szCs w:val="24"/>
        </w:rPr>
      </w:pPr>
    </w:p>
    <w:tbl>
      <w:tblPr>
        <w:tblStyle w:val="Tablaconcuadrcula"/>
        <w:tblW w:w="0" w:type="auto"/>
        <w:tblLook w:val="04A0" w:firstRow="1" w:lastRow="0" w:firstColumn="1" w:lastColumn="0" w:noHBand="0" w:noVBand="1"/>
      </w:tblPr>
      <w:tblGrid>
        <w:gridCol w:w="5550"/>
        <w:gridCol w:w="818"/>
        <w:gridCol w:w="1140"/>
        <w:gridCol w:w="1320"/>
      </w:tblGrid>
      <w:tr w:rsidR="00AF69FA" w:rsidRPr="003B4E6C" w:rsidTr="00674513">
        <w:trPr>
          <w:trHeight w:val="255"/>
          <w:tblHeader/>
        </w:trPr>
        <w:tc>
          <w:tcPr>
            <w:tcW w:w="8828" w:type="dxa"/>
            <w:gridSpan w:val="4"/>
            <w:shd w:val="clear" w:color="auto" w:fill="33CCCC"/>
            <w:noWrap/>
          </w:tcPr>
          <w:p w:rsidR="00AF69FA" w:rsidRPr="003B4E6C" w:rsidRDefault="00AF69FA" w:rsidP="002E7D47">
            <w:pPr>
              <w:spacing w:before="100" w:beforeAutospacing="1" w:after="100" w:afterAutospacing="1" w:line="360" w:lineRule="auto"/>
              <w:contextualSpacing/>
              <w:jc w:val="center"/>
              <w:rPr>
                <w:rFonts w:ascii="Arial Narrow" w:hAnsi="Arial Narrow" w:cs="Arial"/>
                <w:sz w:val="24"/>
                <w:szCs w:val="24"/>
              </w:rPr>
            </w:pPr>
            <w:r w:rsidRPr="003B4E6C">
              <w:rPr>
                <w:rFonts w:ascii="Arial Narrow" w:eastAsia="Times New Roman" w:hAnsi="Arial Narrow" w:cs="Arial"/>
                <w:b/>
                <w:bCs/>
                <w:sz w:val="24"/>
                <w:szCs w:val="24"/>
                <w:lang w:val="es-MX" w:eastAsia="es-MX"/>
              </w:rPr>
              <w:t>Resultados de la Evaluación Vinculante 2019, respecto del ejercicio 2018</w:t>
            </w:r>
          </w:p>
        </w:tc>
      </w:tr>
      <w:tr w:rsidR="00AF69FA" w:rsidRPr="003B4E6C" w:rsidTr="00674513">
        <w:trPr>
          <w:trHeight w:val="255"/>
          <w:tblHeader/>
        </w:trPr>
        <w:tc>
          <w:tcPr>
            <w:tcW w:w="5550" w:type="dxa"/>
            <w:shd w:val="clear" w:color="auto" w:fill="33CCCC"/>
            <w:noWrap/>
            <w:vAlign w:val="center"/>
          </w:tcPr>
          <w:p w:rsidR="00AF69FA" w:rsidRPr="003B4E6C" w:rsidRDefault="00AF69FA" w:rsidP="002E7D47">
            <w:pPr>
              <w:spacing w:before="100" w:beforeAutospacing="1" w:after="100" w:afterAutospacing="1" w:line="360" w:lineRule="auto"/>
              <w:contextualSpacing/>
              <w:jc w:val="center"/>
              <w:rPr>
                <w:rFonts w:ascii="Arial Narrow" w:eastAsia="Times New Roman" w:hAnsi="Arial Narrow" w:cs="Arial"/>
                <w:b/>
                <w:bCs/>
                <w:sz w:val="24"/>
                <w:szCs w:val="24"/>
                <w:lang w:val="es-MX" w:eastAsia="es-MX"/>
              </w:rPr>
            </w:pPr>
            <w:r w:rsidRPr="003B4E6C">
              <w:rPr>
                <w:rFonts w:ascii="Arial Narrow" w:eastAsia="Times New Roman" w:hAnsi="Arial Narrow" w:cs="Arial"/>
                <w:b/>
                <w:bCs/>
                <w:sz w:val="24"/>
                <w:szCs w:val="24"/>
                <w:lang w:val="es-MX" w:eastAsia="es-MX"/>
              </w:rPr>
              <w:t>Sujeto Obligado</w:t>
            </w:r>
          </w:p>
        </w:tc>
        <w:tc>
          <w:tcPr>
            <w:tcW w:w="818" w:type="dxa"/>
            <w:shd w:val="clear" w:color="auto" w:fill="33CCCC"/>
            <w:noWrap/>
            <w:vAlign w:val="center"/>
          </w:tcPr>
          <w:p w:rsidR="00AF69FA" w:rsidRPr="003B4E6C" w:rsidRDefault="00AF69FA" w:rsidP="002E7D47">
            <w:pPr>
              <w:spacing w:before="100" w:beforeAutospacing="1" w:after="100" w:afterAutospacing="1" w:line="360" w:lineRule="auto"/>
              <w:contextualSpacing/>
              <w:jc w:val="center"/>
              <w:rPr>
                <w:rFonts w:ascii="Arial Narrow" w:eastAsia="Times New Roman" w:hAnsi="Arial Narrow" w:cs="Arial"/>
                <w:b/>
                <w:bCs/>
                <w:sz w:val="24"/>
                <w:szCs w:val="24"/>
                <w:lang w:val="es-MX" w:eastAsia="es-MX"/>
              </w:rPr>
            </w:pPr>
            <w:r w:rsidRPr="003B4E6C">
              <w:rPr>
                <w:rFonts w:ascii="Arial Narrow" w:eastAsia="Times New Roman" w:hAnsi="Arial Narrow" w:cs="Arial"/>
                <w:b/>
                <w:bCs/>
                <w:sz w:val="24"/>
                <w:szCs w:val="24"/>
                <w:lang w:val="es-MX" w:eastAsia="es-MX"/>
              </w:rPr>
              <w:t>IGOT</w:t>
            </w:r>
          </w:p>
        </w:tc>
        <w:tc>
          <w:tcPr>
            <w:tcW w:w="1140" w:type="dxa"/>
            <w:shd w:val="clear" w:color="auto" w:fill="33CCCC"/>
            <w:noWrap/>
            <w:vAlign w:val="center"/>
          </w:tcPr>
          <w:p w:rsidR="00AF69FA" w:rsidRPr="003B4E6C" w:rsidRDefault="00AF69FA" w:rsidP="002E7D47">
            <w:pPr>
              <w:spacing w:before="100" w:beforeAutospacing="1" w:after="100" w:afterAutospacing="1" w:line="360" w:lineRule="auto"/>
              <w:contextualSpacing/>
              <w:jc w:val="center"/>
              <w:rPr>
                <w:rFonts w:ascii="Arial Narrow" w:eastAsia="Times New Roman" w:hAnsi="Arial Narrow" w:cs="Arial"/>
                <w:b/>
                <w:bCs/>
                <w:sz w:val="24"/>
                <w:szCs w:val="24"/>
                <w:lang w:val="es-MX" w:eastAsia="es-MX"/>
              </w:rPr>
            </w:pPr>
            <w:r w:rsidRPr="003B4E6C">
              <w:rPr>
                <w:rFonts w:ascii="Arial Narrow" w:eastAsia="Times New Roman" w:hAnsi="Arial Narrow" w:cs="Arial"/>
                <w:b/>
                <w:bCs/>
                <w:sz w:val="24"/>
                <w:szCs w:val="24"/>
                <w:lang w:val="es-MX" w:eastAsia="es-MX"/>
              </w:rPr>
              <w:t>ICOT_PT</w:t>
            </w:r>
          </w:p>
        </w:tc>
        <w:tc>
          <w:tcPr>
            <w:tcW w:w="1320" w:type="dxa"/>
            <w:shd w:val="clear" w:color="auto" w:fill="33CCCC"/>
            <w:noWrap/>
            <w:vAlign w:val="center"/>
          </w:tcPr>
          <w:p w:rsidR="00AF69FA" w:rsidRPr="003B4E6C" w:rsidRDefault="00AF69FA" w:rsidP="002E7D47">
            <w:pPr>
              <w:spacing w:before="100" w:beforeAutospacing="1" w:after="100" w:afterAutospacing="1" w:line="360" w:lineRule="auto"/>
              <w:contextualSpacing/>
              <w:jc w:val="center"/>
              <w:rPr>
                <w:rFonts w:ascii="Arial Narrow" w:eastAsia="Times New Roman" w:hAnsi="Arial Narrow" w:cs="Arial"/>
                <w:b/>
                <w:bCs/>
                <w:sz w:val="24"/>
                <w:szCs w:val="24"/>
                <w:lang w:val="es-MX" w:eastAsia="es-MX"/>
              </w:rPr>
            </w:pPr>
            <w:r w:rsidRPr="003B4E6C">
              <w:rPr>
                <w:rFonts w:ascii="Arial Narrow" w:eastAsia="Times New Roman" w:hAnsi="Arial Narrow" w:cs="Arial"/>
                <w:b/>
                <w:bCs/>
                <w:sz w:val="24"/>
                <w:szCs w:val="24"/>
                <w:lang w:val="es-MX" w:eastAsia="es-MX"/>
              </w:rPr>
              <w:t>ICOT_PNT</w:t>
            </w:r>
          </w:p>
        </w:tc>
      </w:tr>
      <w:tr w:rsidR="00AF69FA" w:rsidRPr="003B4E6C" w:rsidTr="006C722A">
        <w:trPr>
          <w:trHeight w:val="255"/>
        </w:trPr>
        <w:tc>
          <w:tcPr>
            <w:tcW w:w="5550" w:type="dxa"/>
            <w:noWrap/>
            <w:hideMark/>
          </w:tcPr>
          <w:p w:rsidR="00AF69FA" w:rsidRPr="003B4E6C" w:rsidRDefault="00AF69FA" w:rsidP="002E7D47">
            <w:pPr>
              <w:spacing w:before="100" w:beforeAutospacing="1" w:after="100" w:afterAutospacing="1" w:line="360" w:lineRule="auto"/>
              <w:contextualSpacing/>
              <w:jc w:val="both"/>
              <w:rPr>
                <w:rFonts w:ascii="Arial Narrow" w:hAnsi="Arial Narrow" w:cs="Arial"/>
                <w:sz w:val="24"/>
                <w:szCs w:val="24"/>
                <w:lang w:val="es-MX"/>
              </w:rPr>
            </w:pPr>
            <w:r w:rsidRPr="003B4E6C">
              <w:rPr>
                <w:rFonts w:ascii="Arial Narrow" w:hAnsi="Arial Narrow" w:cs="Arial"/>
                <w:sz w:val="24"/>
                <w:szCs w:val="24"/>
              </w:rPr>
              <w:t>Centro de Comando, Control, Cómputo, Comunicaciones y Contacto Ciudadano de la Ciudad de México</w:t>
            </w:r>
          </w:p>
        </w:tc>
        <w:tc>
          <w:tcPr>
            <w:tcW w:w="818" w:type="dxa"/>
            <w:shd w:val="clear" w:color="auto" w:fill="C9C9C9" w:themeFill="accent3" w:themeFillTint="99"/>
            <w:noWrap/>
            <w:hideMark/>
          </w:tcPr>
          <w:p w:rsidR="00AF69FA" w:rsidRPr="003B4E6C" w:rsidRDefault="00AF69FA" w:rsidP="002E7D47">
            <w:pPr>
              <w:spacing w:before="100" w:beforeAutospacing="1" w:after="100" w:afterAutospacing="1" w:line="360" w:lineRule="auto"/>
              <w:contextualSpacing/>
              <w:jc w:val="both"/>
              <w:rPr>
                <w:rFonts w:ascii="Arial Narrow" w:hAnsi="Arial Narrow" w:cs="Arial"/>
                <w:sz w:val="24"/>
                <w:szCs w:val="24"/>
              </w:rPr>
            </w:pPr>
            <w:r w:rsidRPr="003B4E6C">
              <w:rPr>
                <w:rFonts w:ascii="Arial Narrow" w:hAnsi="Arial Narrow" w:cs="Arial"/>
                <w:sz w:val="24"/>
                <w:szCs w:val="24"/>
              </w:rPr>
              <w:t>100.00</w:t>
            </w:r>
          </w:p>
        </w:tc>
        <w:tc>
          <w:tcPr>
            <w:tcW w:w="1140" w:type="dxa"/>
            <w:noWrap/>
            <w:hideMark/>
          </w:tcPr>
          <w:p w:rsidR="00AF69FA" w:rsidRPr="003B4E6C" w:rsidRDefault="00AF69FA" w:rsidP="002E7D47">
            <w:pPr>
              <w:spacing w:before="100" w:beforeAutospacing="1" w:after="100" w:afterAutospacing="1" w:line="360" w:lineRule="auto"/>
              <w:contextualSpacing/>
              <w:jc w:val="both"/>
              <w:rPr>
                <w:rFonts w:ascii="Arial Narrow" w:hAnsi="Arial Narrow" w:cs="Arial"/>
                <w:sz w:val="24"/>
                <w:szCs w:val="24"/>
              </w:rPr>
            </w:pPr>
            <w:r w:rsidRPr="003B4E6C">
              <w:rPr>
                <w:rFonts w:ascii="Arial Narrow" w:hAnsi="Arial Narrow" w:cs="Arial"/>
                <w:sz w:val="24"/>
                <w:szCs w:val="24"/>
              </w:rPr>
              <w:t>100.00</w:t>
            </w:r>
          </w:p>
        </w:tc>
        <w:tc>
          <w:tcPr>
            <w:tcW w:w="1320" w:type="dxa"/>
            <w:noWrap/>
            <w:hideMark/>
          </w:tcPr>
          <w:p w:rsidR="00AF69FA" w:rsidRPr="003B4E6C" w:rsidRDefault="00AF69FA" w:rsidP="002E7D47">
            <w:pPr>
              <w:spacing w:before="100" w:beforeAutospacing="1" w:after="100" w:afterAutospacing="1" w:line="360" w:lineRule="auto"/>
              <w:contextualSpacing/>
              <w:jc w:val="both"/>
              <w:rPr>
                <w:rFonts w:ascii="Arial Narrow" w:hAnsi="Arial Narrow" w:cs="Arial"/>
                <w:sz w:val="24"/>
                <w:szCs w:val="24"/>
              </w:rPr>
            </w:pPr>
            <w:r w:rsidRPr="003B4E6C">
              <w:rPr>
                <w:rFonts w:ascii="Arial Narrow" w:hAnsi="Arial Narrow" w:cs="Arial"/>
                <w:sz w:val="24"/>
                <w:szCs w:val="24"/>
              </w:rPr>
              <w:t>100.00</w:t>
            </w:r>
          </w:p>
        </w:tc>
      </w:tr>
      <w:tr w:rsidR="00AF69FA" w:rsidRPr="003B4E6C" w:rsidTr="006C722A">
        <w:trPr>
          <w:trHeight w:val="255"/>
        </w:trPr>
        <w:tc>
          <w:tcPr>
            <w:tcW w:w="5550" w:type="dxa"/>
            <w:noWrap/>
            <w:hideMark/>
          </w:tcPr>
          <w:p w:rsidR="00AF69FA" w:rsidRPr="003B4E6C" w:rsidRDefault="00AF69FA" w:rsidP="002E7D47">
            <w:pPr>
              <w:spacing w:before="100" w:beforeAutospacing="1" w:after="100" w:afterAutospacing="1" w:line="360" w:lineRule="auto"/>
              <w:contextualSpacing/>
              <w:jc w:val="both"/>
              <w:rPr>
                <w:rFonts w:ascii="Arial Narrow" w:hAnsi="Arial Narrow" w:cs="Arial"/>
                <w:sz w:val="24"/>
                <w:szCs w:val="24"/>
              </w:rPr>
            </w:pPr>
            <w:proofErr w:type="spellStart"/>
            <w:r w:rsidRPr="003B4E6C">
              <w:rPr>
                <w:rFonts w:ascii="Arial Narrow" w:hAnsi="Arial Narrow" w:cs="Arial"/>
                <w:sz w:val="24"/>
                <w:szCs w:val="24"/>
              </w:rPr>
              <w:t>Metrobús</w:t>
            </w:r>
            <w:proofErr w:type="spellEnd"/>
          </w:p>
        </w:tc>
        <w:tc>
          <w:tcPr>
            <w:tcW w:w="818" w:type="dxa"/>
            <w:shd w:val="clear" w:color="auto" w:fill="C9C9C9" w:themeFill="accent3" w:themeFillTint="99"/>
            <w:noWrap/>
            <w:hideMark/>
          </w:tcPr>
          <w:p w:rsidR="00AF69FA" w:rsidRPr="003B4E6C" w:rsidRDefault="00AF69FA" w:rsidP="002E7D47">
            <w:pPr>
              <w:spacing w:before="100" w:beforeAutospacing="1" w:after="100" w:afterAutospacing="1" w:line="360" w:lineRule="auto"/>
              <w:contextualSpacing/>
              <w:jc w:val="both"/>
              <w:rPr>
                <w:rFonts w:ascii="Arial Narrow" w:hAnsi="Arial Narrow" w:cs="Arial"/>
                <w:sz w:val="24"/>
                <w:szCs w:val="24"/>
              </w:rPr>
            </w:pPr>
            <w:r w:rsidRPr="003B4E6C">
              <w:rPr>
                <w:rFonts w:ascii="Arial Narrow" w:hAnsi="Arial Narrow" w:cs="Arial"/>
                <w:sz w:val="24"/>
                <w:szCs w:val="24"/>
              </w:rPr>
              <w:t>100.00</w:t>
            </w:r>
          </w:p>
        </w:tc>
        <w:tc>
          <w:tcPr>
            <w:tcW w:w="1140" w:type="dxa"/>
            <w:noWrap/>
            <w:hideMark/>
          </w:tcPr>
          <w:p w:rsidR="00AF69FA" w:rsidRPr="003B4E6C" w:rsidRDefault="00AF69FA" w:rsidP="002E7D47">
            <w:pPr>
              <w:spacing w:before="100" w:beforeAutospacing="1" w:after="100" w:afterAutospacing="1" w:line="360" w:lineRule="auto"/>
              <w:contextualSpacing/>
              <w:jc w:val="both"/>
              <w:rPr>
                <w:rFonts w:ascii="Arial Narrow" w:hAnsi="Arial Narrow" w:cs="Arial"/>
                <w:sz w:val="24"/>
                <w:szCs w:val="24"/>
              </w:rPr>
            </w:pPr>
            <w:r w:rsidRPr="003B4E6C">
              <w:rPr>
                <w:rFonts w:ascii="Arial Narrow" w:hAnsi="Arial Narrow" w:cs="Arial"/>
                <w:sz w:val="24"/>
                <w:szCs w:val="24"/>
              </w:rPr>
              <w:t>100.00</w:t>
            </w:r>
          </w:p>
        </w:tc>
        <w:tc>
          <w:tcPr>
            <w:tcW w:w="1320" w:type="dxa"/>
            <w:noWrap/>
            <w:hideMark/>
          </w:tcPr>
          <w:p w:rsidR="00AF69FA" w:rsidRPr="003B4E6C" w:rsidRDefault="00AF69FA" w:rsidP="002E7D47">
            <w:pPr>
              <w:spacing w:before="100" w:beforeAutospacing="1" w:after="100" w:afterAutospacing="1" w:line="360" w:lineRule="auto"/>
              <w:contextualSpacing/>
              <w:jc w:val="both"/>
              <w:rPr>
                <w:rFonts w:ascii="Arial Narrow" w:hAnsi="Arial Narrow" w:cs="Arial"/>
                <w:sz w:val="24"/>
                <w:szCs w:val="24"/>
              </w:rPr>
            </w:pPr>
            <w:r w:rsidRPr="003B4E6C">
              <w:rPr>
                <w:rFonts w:ascii="Arial Narrow" w:hAnsi="Arial Narrow" w:cs="Arial"/>
                <w:sz w:val="24"/>
                <w:szCs w:val="24"/>
              </w:rPr>
              <w:t>100.00</w:t>
            </w:r>
          </w:p>
        </w:tc>
      </w:tr>
      <w:tr w:rsidR="003B4E6C" w:rsidRPr="003B4E6C" w:rsidTr="006C722A">
        <w:trPr>
          <w:trHeight w:val="255"/>
        </w:trPr>
        <w:tc>
          <w:tcPr>
            <w:tcW w:w="5550" w:type="dxa"/>
            <w:noWrap/>
            <w:vAlign w:val="center"/>
            <w:hideMark/>
          </w:tcPr>
          <w:p w:rsidR="003B4E6C" w:rsidRPr="003B4E6C" w:rsidRDefault="003B4E6C" w:rsidP="003B4E6C">
            <w:pPr>
              <w:jc w:val="both"/>
              <w:rPr>
                <w:rFonts w:ascii="Arial Narrow" w:hAnsi="Arial Narrow"/>
                <w:color w:val="000000"/>
                <w:sz w:val="24"/>
                <w:szCs w:val="24"/>
                <w:lang w:val="es-MX"/>
              </w:rPr>
            </w:pPr>
            <w:r w:rsidRPr="003B4E6C">
              <w:rPr>
                <w:rFonts w:ascii="Arial Narrow" w:hAnsi="Arial Narrow"/>
                <w:color w:val="000000"/>
                <w:sz w:val="24"/>
                <w:szCs w:val="24"/>
              </w:rPr>
              <w:t>Sistema de Aguas de la Ciudad de México</w:t>
            </w:r>
          </w:p>
        </w:tc>
        <w:tc>
          <w:tcPr>
            <w:tcW w:w="818" w:type="dxa"/>
            <w:shd w:val="clear" w:color="auto" w:fill="C9C9C9" w:themeFill="accent3" w:themeFillTint="99"/>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99.96</w:t>
            </w:r>
          </w:p>
        </w:tc>
        <w:tc>
          <w:tcPr>
            <w:tcW w:w="114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99.98</w:t>
            </w:r>
          </w:p>
        </w:tc>
        <w:tc>
          <w:tcPr>
            <w:tcW w:w="132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99.95</w:t>
            </w:r>
          </w:p>
        </w:tc>
      </w:tr>
      <w:tr w:rsidR="003B4E6C" w:rsidRPr="003B4E6C" w:rsidTr="006C722A">
        <w:trPr>
          <w:trHeight w:val="255"/>
        </w:trPr>
        <w:tc>
          <w:tcPr>
            <w:tcW w:w="555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Corporación Mexicana de Impresión, S.A. de C.V.</w:t>
            </w:r>
          </w:p>
        </w:tc>
        <w:tc>
          <w:tcPr>
            <w:tcW w:w="818" w:type="dxa"/>
            <w:shd w:val="clear" w:color="auto" w:fill="C9C9C9" w:themeFill="accent3" w:themeFillTint="99"/>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98.6</w:t>
            </w:r>
          </w:p>
        </w:tc>
        <w:tc>
          <w:tcPr>
            <w:tcW w:w="114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98.52</w:t>
            </w:r>
          </w:p>
        </w:tc>
        <w:tc>
          <w:tcPr>
            <w:tcW w:w="132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98.69</w:t>
            </w:r>
          </w:p>
        </w:tc>
      </w:tr>
      <w:tr w:rsidR="003B4E6C" w:rsidRPr="003B4E6C" w:rsidTr="006C722A">
        <w:trPr>
          <w:trHeight w:val="255"/>
        </w:trPr>
        <w:tc>
          <w:tcPr>
            <w:tcW w:w="555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Servicios de Salud Pública del Distrito Federal</w:t>
            </w:r>
          </w:p>
        </w:tc>
        <w:tc>
          <w:tcPr>
            <w:tcW w:w="818" w:type="dxa"/>
            <w:shd w:val="clear" w:color="auto" w:fill="C9C9C9" w:themeFill="accent3" w:themeFillTint="99"/>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97.52</w:t>
            </w:r>
          </w:p>
        </w:tc>
        <w:tc>
          <w:tcPr>
            <w:tcW w:w="114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99.68</w:t>
            </w:r>
          </w:p>
        </w:tc>
        <w:tc>
          <w:tcPr>
            <w:tcW w:w="132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95.37</w:t>
            </w:r>
          </w:p>
        </w:tc>
      </w:tr>
      <w:tr w:rsidR="003B4E6C" w:rsidRPr="003B4E6C" w:rsidTr="006C722A">
        <w:trPr>
          <w:trHeight w:val="255"/>
        </w:trPr>
        <w:tc>
          <w:tcPr>
            <w:tcW w:w="555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Instituto de Verificación Administrativa del Distrito Federal</w:t>
            </w:r>
          </w:p>
        </w:tc>
        <w:tc>
          <w:tcPr>
            <w:tcW w:w="818" w:type="dxa"/>
            <w:shd w:val="clear" w:color="auto" w:fill="C9C9C9" w:themeFill="accent3" w:themeFillTint="99"/>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96.25</w:t>
            </w:r>
          </w:p>
        </w:tc>
        <w:tc>
          <w:tcPr>
            <w:tcW w:w="114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96.2</w:t>
            </w:r>
          </w:p>
        </w:tc>
        <w:tc>
          <w:tcPr>
            <w:tcW w:w="132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96.29</w:t>
            </w:r>
          </w:p>
        </w:tc>
      </w:tr>
      <w:tr w:rsidR="003B4E6C" w:rsidRPr="003B4E6C" w:rsidTr="006C722A">
        <w:trPr>
          <w:trHeight w:val="255"/>
        </w:trPr>
        <w:tc>
          <w:tcPr>
            <w:tcW w:w="555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Escuela de Administración Pública del Distrito Federal</w:t>
            </w:r>
          </w:p>
        </w:tc>
        <w:tc>
          <w:tcPr>
            <w:tcW w:w="818" w:type="dxa"/>
            <w:shd w:val="clear" w:color="auto" w:fill="C9C9C9" w:themeFill="accent3" w:themeFillTint="99"/>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95.95</w:t>
            </w:r>
          </w:p>
        </w:tc>
        <w:tc>
          <w:tcPr>
            <w:tcW w:w="114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94.62</w:t>
            </w:r>
          </w:p>
        </w:tc>
        <w:tc>
          <w:tcPr>
            <w:tcW w:w="132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97.26</w:t>
            </w:r>
          </w:p>
        </w:tc>
      </w:tr>
      <w:tr w:rsidR="003B4E6C" w:rsidRPr="003B4E6C" w:rsidTr="006C722A">
        <w:trPr>
          <w:trHeight w:val="255"/>
        </w:trPr>
        <w:tc>
          <w:tcPr>
            <w:tcW w:w="555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Procuraduría Ambiental y del Ordenamiento Territorial del Distrito Federal</w:t>
            </w:r>
          </w:p>
        </w:tc>
        <w:tc>
          <w:tcPr>
            <w:tcW w:w="818" w:type="dxa"/>
            <w:shd w:val="clear" w:color="auto" w:fill="C9C9C9" w:themeFill="accent3" w:themeFillTint="99"/>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95.95</w:t>
            </w:r>
          </w:p>
        </w:tc>
        <w:tc>
          <w:tcPr>
            <w:tcW w:w="114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92.13</w:t>
            </w:r>
          </w:p>
        </w:tc>
        <w:tc>
          <w:tcPr>
            <w:tcW w:w="132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99.77</w:t>
            </w:r>
          </w:p>
        </w:tc>
      </w:tr>
      <w:tr w:rsidR="003B4E6C" w:rsidRPr="003B4E6C" w:rsidTr="006C722A">
        <w:trPr>
          <w:trHeight w:val="255"/>
        </w:trPr>
        <w:tc>
          <w:tcPr>
            <w:tcW w:w="555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Consejo para Prevenir y Eliminar la Discriminación de la Ciudad de México</w:t>
            </w:r>
          </w:p>
        </w:tc>
        <w:tc>
          <w:tcPr>
            <w:tcW w:w="818" w:type="dxa"/>
            <w:shd w:val="clear" w:color="auto" w:fill="C9C9C9" w:themeFill="accent3" w:themeFillTint="99"/>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94.55</w:t>
            </w:r>
          </w:p>
        </w:tc>
        <w:tc>
          <w:tcPr>
            <w:tcW w:w="114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94.28</w:t>
            </w:r>
          </w:p>
        </w:tc>
        <w:tc>
          <w:tcPr>
            <w:tcW w:w="132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94.82</w:t>
            </w:r>
          </w:p>
        </w:tc>
      </w:tr>
      <w:tr w:rsidR="003B4E6C" w:rsidRPr="003B4E6C" w:rsidTr="006C722A">
        <w:trPr>
          <w:trHeight w:val="255"/>
        </w:trPr>
        <w:tc>
          <w:tcPr>
            <w:tcW w:w="555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Policía Bancaria e Industrial</w:t>
            </w:r>
          </w:p>
        </w:tc>
        <w:tc>
          <w:tcPr>
            <w:tcW w:w="818" w:type="dxa"/>
            <w:shd w:val="clear" w:color="auto" w:fill="C9C9C9" w:themeFill="accent3" w:themeFillTint="99"/>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94.38</w:t>
            </w:r>
          </w:p>
        </w:tc>
        <w:tc>
          <w:tcPr>
            <w:tcW w:w="114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94.12</w:t>
            </w:r>
          </w:p>
        </w:tc>
        <w:tc>
          <w:tcPr>
            <w:tcW w:w="132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94.64</w:t>
            </w:r>
          </w:p>
        </w:tc>
      </w:tr>
      <w:tr w:rsidR="003B4E6C" w:rsidRPr="003B4E6C" w:rsidTr="006C722A">
        <w:trPr>
          <w:trHeight w:val="255"/>
        </w:trPr>
        <w:tc>
          <w:tcPr>
            <w:tcW w:w="555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Junta de Asistencia Privada del Distrito Federal</w:t>
            </w:r>
          </w:p>
        </w:tc>
        <w:tc>
          <w:tcPr>
            <w:tcW w:w="818" w:type="dxa"/>
            <w:shd w:val="clear" w:color="auto" w:fill="C9C9C9" w:themeFill="accent3" w:themeFillTint="99"/>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93.13</w:t>
            </w:r>
          </w:p>
        </w:tc>
        <w:tc>
          <w:tcPr>
            <w:tcW w:w="114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95.71</w:t>
            </w:r>
          </w:p>
        </w:tc>
        <w:tc>
          <w:tcPr>
            <w:tcW w:w="132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90.56</w:t>
            </w:r>
          </w:p>
        </w:tc>
      </w:tr>
      <w:tr w:rsidR="003B4E6C" w:rsidRPr="003B4E6C" w:rsidTr="006C722A">
        <w:trPr>
          <w:trHeight w:val="255"/>
        </w:trPr>
        <w:tc>
          <w:tcPr>
            <w:tcW w:w="555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Sistema para el Desarrollo Integral de la Familia del Distrito Federal</w:t>
            </w:r>
          </w:p>
        </w:tc>
        <w:tc>
          <w:tcPr>
            <w:tcW w:w="818" w:type="dxa"/>
            <w:shd w:val="clear" w:color="auto" w:fill="C9C9C9" w:themeFill="accent3" w:themeFillTint="99"/>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92.86</w:t>
            </w:r>
          </w:p>
        </w:tc>
        <w:tc>
          <w:tcPr>
            <w:tcW w:w="114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89.83</w:t>
            </w:r>
          </w:p>
        </w:tc>
        <w:tc>
          <w:tcPr>
            <w:tcW w:w="132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95.88</w:t>
            </w:r>
          </w:p>
        </w:tc>
      </w:tr>
      <w:tr w:rsidR="003B4E6C" w:rsidRPr="003B4E6C" w:rsidTr="006C722A">
        <w:trPr>
          <w:trHeight w:val="255"/>
        </w:trPr>
        <w:tc>
          <w:tcPr>
            <w:tcW w:w="555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Sistema de Movilidad 1</w:t>
            </w:r>
          </w:p>
        </w:tc>
        <w:tc>
          <w:tcPr>
            <w:tcW w:w="818" w:type="dxa"/>
            <w:shd w:val="clear" w:color="auto" w:fill="C9C9C9" w:themeFill="accent3" w:themeFillTint="99"/>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92.77</w:t>
            </w:r>
          </w:p>
        </w:tc>
        <w:tc>
          <w:tcPr>
            <w:tcW w:w="114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89.1</w:t>
            </w:r>
          </w:p>
        </w:tc>
        <w:tc>
          <w:tcPr>
            <w:tcW w:w="132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96.44</w:t>
            </w:r>
          </w:p>
        </w:tc>
      </w:tr>
      <w:tr w:rsidR="003B4E6C" w:rsidRPr="003B4E6C" w:rsidTr="006C722A">
        <w:trPr>
          <w:trHeight w:val="255"/>
        </w:trPr>
        <w:tc>
          <w:tcPr>
            <w:tcW w:w="555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Instituto de Vivienda del Distrito Federal</w:t>
            </w:r>
          </w:p>
        </w:tc>
        <w:tc>
          <w:tcPr>
            <w:tcW w:w="818" w:type="dxa"/>
            <w:shd w:val="clear" w:color="auto" w:fill="C9C9C9" w:themeFill="accent3" w:themeFillTint="99"/>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91.78</w:t>
            </w:r>
          </w:p>
        </w:tc>
        <w:tc>
          <w:tcPr>
            <w:tcW w:w="114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86.11</w:t>
            </w:r>
          </w:p>
        </w:tc>
        <w:tc>
          <w:tcPr>
            <w:tcW w:w="132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97.45</w:t>
            </w:r>
          </w:p>
        </w:tc>
      </w:tr>
      <w:tr w:rsidR="003B4E6C" w:rsidRPr="003B4E6C" w:rsidTr="006C722A">
        <w:trPr>
          <w:trHeight w:val="255"/>
        </w:trPr>
        <w:tc>
          <w:tcPr>
            <w:tcW w:w="555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Autoridad del Centro Histórico</w:t>
            </w:r>
          </w:p>
        </w:tc>
        <w:tc>
          <w:tcPr>
            <w:tcW w:w="818" w:type="dxa"/>
            <w:shd w:val="clear" w:color="auto" w:fill="C9C9C9" w:themeFill="accent3" w:themeFillTint="99"/>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90.24</w:t>
            </w:r>
          </w:p>
        </w:tc>
        <w:tc>
          <w:tcPr>
            <w:tcW w:w="114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93.56</w:t>
            </w:r>
          </w:p>
        </w:tc>
        <w:tc>
          <w:tcPr>
            <w:tcW w:w="132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86.92</w:t>
            </w:r>
          </w:p>
        </w:tc>
      </w:tr>
      <w:tr w:rsidR="003B4E6C" w:rsidRPr="003B4E6C" w:rsidTr="006C722A">
        <w:trPr>
          <w:trHeight w:val="255"/>
        </w:trPr>
        <w:tc>
          <w:tcPr>
            <w:tcW w:w="555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Instituto de las Mujeres del Distrito Federal</w:t>
            </w:r>
          </w:p>
        </w:tc>
        <w:tc>
          <w:tcPr>
            <w:tcW w:w="818" w:type="dxa"/>
            <w:shd w:val="clear" w:color="auto" w:fill="C9C9C9" w:themeFill="accent3" w:themeFillTint="99"/>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88.74</w:t>
            </w:r>
          </w:p>
        </w:tc>
        <w:tc>
          <w:tcPr>
            <w:tcW w:w="114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88.65</w:t>
            </w:r>
          </w:p>
        </w:tc>
        <w:tc>
          <w:tcPr>
            <w:tcW w:w="132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88.84</w:t>
            </w:r>
          </w:p>
        </w:tc>
      </w:tr>
      <w:tr w:rsidR="003B4E6C" w:rsidRPr="003B4E6C" w:rsidTr="006C722A">
        <w:trPr>
          <w:trHeight w:val="255"/>
        </w:trPr>
        <w:tc>
          <w:tcPr>
            <w:tcW w:w="555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Policía Auxiliar</w:t>
            </w:r>
          </w:p>
        </w:tc>
        <w:tc>
          <w:tcPr>
            <w:tcW w:w="818" w:type="dxa"/>
            <w:shd w:val="clear" w:color="auto" w:fill="C9C9C9" w:themeFill="accent3" w:themeFillTint="99"/>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88.57</w:t>
            </w:r>
          </w:p>
        </w:tc>
        <w:tc>
          <w:tcPr>
            <w:tcW w:w="114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89.93</w:t>
            </w:r>
          </w:p>
        </w:tc>
        <w:tc>
          <w:tcPr>
            <w:tcW w:w="132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87.21</w:t>
            </w:r>
          </w:p>
        </w:tc>
      </w:tr>
      <w:tr w:rsidR="003B4E6C" w:rsidRPr="003B4E6C" w:rsidTr="006C722A">
        <w:trPr>
          <w:trHeight w:val="255"/>
        </w:trPr>
        <w:tc>
          <w:tcPr>
            <w:tcW w:w="555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Caja de Previsión de la Policía Preventiva del Distrito Federal</w:t>
            </w:r>
          </w:p>
        </w:tc>
        <w:tc>
          <w:tcPr>
            <w:tcW w:w="818" w:type="dxa"/>
            <w:shd w:val="clear" w:color="auto" w:fill="C9C9C9" w:themeFill="accent3" w:themeFillTint="99"/>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88.16</w:t>
            </w:r>
          </w:p>
        </w:tc>
        <w:tc>
          <w:tcPr>
            <w:tcW w:w="114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87.32</w:t>
            </w:r>
          </w:p>
        </w:tc>
        <w:tc>
          <w:tcPr>
            <w:tcW w:w="132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89</w:t>
            </w:r>
          </w:p>
        </w:tc>
      </w:tr>
      <w:tr w:rsidR="003B4E6C" w:rsidRPr="003B4E6C" w:rsidTr="006C722A">
        <w:trPr>
          <w:trHeight w:val="255"/>
        </w:trPr>
        <w:tc>
          <w:tcPr>
            <w:tcW w:w="555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Caja de Previsión para Trabajadores a Lista de Raya del Distrito Federal</w:t>
            </w:r>
          </w:p>
        </w:tc>
        <w:tc>
          <w:tcPr>
            <w:tcW w:w="818" w:type="dxa"/>
            <w:shd w:val="clear" w:color="auto" w:fill="C9C9C9" w:themeFill="accent3" w:themeFillTint="99"/>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85.49</w:t>
            </w:r>
          </w:p>
        </w:tc>
        <w:tc>
          <w:tcPr>
            <w:tcW w:w="114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82.16</w:t>
            </w:r>
          </w:p>
        </w:tc>
        <w:tc>
          <w:tcPr>
            <w:tcW w:w="132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88.82</w:t>
            </w:r>
          </w:p>
        </w:tc>
      </w:tr>
      <w:tr w:rsidR="003B4E6C" w:rsidRPr="003B4E6C" w:rsidTr="006C722A">
        <w:trPr>
          <w:trHeight w:val="255"/>
        </w:trPr>
        <w:tc>
          <w:tcPr>
            <w:tcW w:w="555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Instituto de Formación Profesional</w:t>
            </w:r>
          </w:p>
        </w:tc>
        <w:tc>
          <w:tcPr>
            <w:tcW w:w="818" w:type="dxa"/>
            <w:shd w:val="clear" w:color="auto" w:fill="C9C9C9" w:themeFill="accent3" w:themeFillTint="99"/>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84.14</w:t>
            </w:r>
          </w:p>
        </w:tc>
        <w:tc>
          <w:tcPr>
            <w:tcW w:w="114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73.28</w:t>
            </w:r>
          </w:p>
        </w:tc>
        <w:tc>
          <w:tcPr>
            <w:tcW w:w="132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95</w:t>
            </w:r>
          </w:p>
        </w:tc>
      </w:tr>
      <w:tr w:rsidR="003B4E6C" w:rsidRPr="003B4E6C" w:rsidTr="006C722A">
        <w:trPr>
          <w:trHeight w:val="255"/>
        </w:trPr>
        <w:tc>
          <w:tcPr>
            <w:tcW w:w="555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lastRenderedPageBreak/>
              <w:t>Coordinación de los Centros de Transferencia Modal del Distrito Federal</w:t>
            </w:r>
          </w:p>
        </w:tc>
        <w:tc>
          <w:tcPr>
            <w:tcW w:w="818" w:type="dxa"/>
            <w:shd w:val="clear" w:color="auto" w:fill="C9C9C9" w:themeFill="accent3" w:themeFillTint="99"/>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84.09</w:t>
            </w:r>
          </w:p>
        </w:tc>
        <w:tc>
          <w:tcPr>
            <w:tcW w:w="114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81.38</w:t>
            </w:r>
          </w:p>
        </w:tc>
        <w:tc>
          <w:tcPr>
            <w:tcW w:w="132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86.79</w:t>
            </w:r>
          </w:p>
        </w:tc>
      </w:tr>
      <w:tr w:rsidR="003B4E6C" w:rsidRPr="003B4E6C" w:rsidTr="006C722A">
        <w:trPr>
          <w:trHeight w:val="255"/>
        </w:trPr>
        <w:tc>
          <w:tcPr>
            <w:tcW w:w="555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Instituto del Deporte del Distrito Federal</w:t>
            </w:r>
          </w:p>
        </w:tc>
        <w:tc>
          <w:tcPr>
            <w:tcW w:w="818" w:type="dxa"/>
            <w:shd w:val="clear" w:color="auto" w:fill="C9C9C9" w:themeFill="accent3" w:themeFillTint="99"/>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82.48</w:t>
            </w:r>
          </w:p>
        </w:tc>
        <w:tc>
          <w:tcPr>
            <w:tcW w:w="114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84.23</w:t>
            </w:r>
          </w:p>
        </w:tc>
        <w:tc>
          <w:tcPr>
            <w:tcW w:w="132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80.73</w:t>
            </w:r>
          </w:p>
        </w:tc>
      </w:tr>
      <w:tr w:rsidR="003B4E6C" w:rsidRPr="003B4E6C" w:rsidTr="006C722A">
        <w:trPr>
          <w:trHeight w:val="255"/>
        </w:trPr>
        <w:tc>
          <w:tcPr>
            <w:tcW w:w="555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Universidad de la Policía de la Ciudad de México</w:t>
            </w:r>
          </w:p>
        </w:tc>
        <w:tc>
          <w:tcPr>
            <w:tcW w:w="818" w:type="dxa"/>
            <w:shd w:val="clear" w:color="auto" w:fill="C9C9C9" w:themeFill="accent3" w:themeFillTint="99"/>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82.39</w:t>
            </w:r>
          </w:p>
        </w:tc>
        <w:tc>
          <w:tcPr>
            <w:tcW w:w="114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80.61</w:t>
            </w:r>
          </w:p>
        </w:tc>
        <w:tc>
          <w:tcPr>
            <w:tcW w:w="132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84.18</w:t>
            </w:r>
          </w:p>
        </w:tc>
      </w:tr>
      <w:tr w:rsidR="003B4E6C" w:rsidRPr="003B4E6C" w:rsidTr="006C722A">
        <w:trPr>
          <w:trHeight w:val="255"/>
        </w:trPr>
        <w:tc>
          <w:tcPr>
            <w:tcW w:w="555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Instituto para la Atención y Prevención de las Adicciones en la Ciudad de México</w:t>
            </w:r>
          </w:p>
        </w:tc>
        <w:tc>
          <w:tcPr>
            <w:tcW w:w="818" w:type="dxa"/>
            <w:shd w:val="clear" w:color="auto" w:fill="C9C9C9" w:themeFill="accent3" w:themeFillTint="99"/>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82.15</w:t>
            </w:r>
          </w:p>
        </w:tc>
        <w:tc>
          <w:tcPr>
            <w:tcW w:w="114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69.69</w:t>
            </w:r>
          </w:p>
        </w:tc>
        <w:tc>
          <w:tcPr>
            <w:tcW w:w="132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94.61</w:t>
            </w:r>
          </w:p>
        </w:tc>
      </w:tr>
      <w:tr w:rsidR="003B4E6C" w:rsidRPr="003B4E6C" w:rsidTr="006C722A">
        <w:trPr>
          <w:trHeight w:val="255"/>
        </w:trPr>
        <w:tc>
          <w:tcPr>
            <w:tcW w:w="555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Caja de Previsión de la Policía Auxiliar del Distrito Federal</w:t>
            </w:r>
          </w:p>
        </w:tc>
        <w:tc>
          <w:tcPr>
            <w:tcW w:w="818" w:type="dxa"/>
            <w:shd w:val="clear" w:color="auto" w:fill="C9C9C9" w:themeFill="accent3" w:themeFillTint="99"/>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82.07</w:t>
            </w:r>
          </w:p>
        </w:tc>
        <w:tc>
          <w:tcPr>
            <w:tcW w:w="114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79.64</w:t>
            </w:r>
          </w:p>
        </w:tc>
        <w:tc>
          <w:tcPr>
            <w:tcW w:w="132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84.5</w:t>
            </w:r>
          </w:p>
        </w:tc>
      </w:tr>
      <w:tr w:rsidR="003B4E6C" w:rsidRPr="003B4E6C" w:rsidTr="006C722A">
        <w:trPr>
          <w:trHeight w:val="255"/>
        </w:trPr>
        <w:tc>
          <w:tcPr>
            <w:tcW w:w="555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Consejo de Evaluación del Desarrollo Social del Distrito Federal</w:t>
            </w:r>
          </w:p>
        </w:tc>
        <w:tc>
          <w:tcPr>
            <w:tcW w:w="818" w:type="dxa"/>
            <w:shd w:val="clear" w:color="auto" w:fill="C9C9C9" w:themeFill="accent3" w:themeFillTint="99"/>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81.06</w:t>
            </w:r>
          </w:p>
        </w:tc>
        <w:tc>
          <w:tcPr>
            <w:tcW w:w="114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74.57</w:t>
            </w:r>
          </w:p>
        </w:tc>
        <w:tc>
          <w:tcPr>
            <w:tcW w:w="132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87.55</w:t>
            </w:r>
          </w:p>
        </w:tc>
      </w:tr>
      <w:tr w:rsidR="003B4E6C" w:rsidRPr="003B4E6C" w:rsidTr="006C722A">
        <w:trPr>
          <w:trHeight w:val="255"/>
        </w:trPr>
        <w:tc>
          <w:tcPr>
            <w:tcW w:w="555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Secretaría Ejecutiva del Mecanismo de Seguimiento y Evaluación del Programa de Derechos Humanos del Distrito Federal</w:t>
            </w:r>
          </w:p>
        </w:tc>
        <w:tc>
          <w:tcPr>
            <w:tcW w:w="818" w:type="dxa"/>
            <w:shd w:val="clear" w:color="auto" w:fill="C9C9C9" w:themeFill="accent3" w:themeFillTint="99"/>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80.53</w:t>
            </w:r>
          </w:p>
        </w:tc>
        <w:tc>
          <w:tcPr>
            <w:tcW w:w="114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72.61</w:t>
            </w:r>
          </w:p>
        </w:tc>
        <w:tc>
          <w:tcPr>
            <w:tcW w:w="132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88.46</w:t>
            </w:r>
          </w:p>
        </w:tc>
      </w:tr>
      <w:tr w:rsidR="003B4E6C" w:rsidRPr="003B4E6C" w:rsidTr="006C722A">
        <w:trPr>
          <w:trHeight w:val="255"/>
        </w:trPr>
        <w:tc>
          <w:tcPr>
            <w:tcW w:w="555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Procuraduría Social del Distrito Federal</w:t>
            </w:r>
          </w:p>
        </w:tc>
        <w:tc>
          <w:tcPr>
            <w:tcW w:w="818" w:type="dxa"/>
            <w:shd w:val="clear" w:color="auto" w:fill="C9C9C9" w:themeFill="accent3" w:themeFillTint="99"/>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79.74</w:t>
            </w:r>
          </w:p>
        </w:tc>
        <w:tc>
          <w:tcPr>
            <w:tcW w:w="114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69.57</w:t>
            </w:r>
          </w:p>
        </w:tc>
        <w:tc>
          <w:tcPr>
            <w:tcW w:w="132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89.91</w:t>
            </w:r>
          </w:p>
        </w:tc>
      </w:tr>
      <w:tr w:rsidR="003B4E6C" w:rsidRPr="003B4E6C" w:rsidTr="006C722A">
        <w:trPr>
          <w:trHeight w:val="255"/>
        </w:trPr>
        <w:tc>
          <w:tcPr>
            <w:tcW w:w="555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Servicio de Transportes Eléctricos del Distrito Federal</w:t>
            </w:r>
          </w:p>
        </w:tc>
        <w:tc>
          <w:tcPr>
            <w:tcW w:w="818" w:type="dxa"/>
            <w:shd w:val="clear" w:color="auto" w:fill="C9C9C9" w:themeFill="accent3" w:themeFillTint="99"/>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77.88</w:t>
            </w:r>
          </w:p>
        </w:tc>
        <w:tc>
          <w:tcPr>
            <w:tcW w:w="114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92.8</w:t>
            </w:r>
          </w:p>
        </w:tc>
        <w:tc>
          <w:tcPr>
            <w:tcW w:w="132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62.96</w:t>
            </w:r>
          </w:p>
        </w:tc>
      </w:tr>
      <w:tr w:rsidR="003B4E6C" w:rsidRPr="003B4E6C" w:rsidTr="006C722A">
        <w:trPr>
          <w:trHeight w:val="255"/>
        </w:trPr>
        <w:tc>
          <w:tcPr>
            <w:tcW w:w="555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Agencia de Gestión Urbana de la Ciudad de México</w:t>
            </w:r>
          </w:p>
        </w:tc>
        <w:tc>
          <w:tcPr>
            <w:tcW w:w="818" w:type="dxa"/>
            <w:shd w:val="clear" w:color="auto" w:fill="C9C9C9" w:themeFill="accent3" w:themeFillTint="99"/>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77.6</w:t>
            </w:r>
          </w:p>
        </w:tc>
        <w:tc>
          <w:tcPr>
            <w:tcW w:w="114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76.62</w:t>
            </w:r>
          </w:p>
        </w:tc>
        <w:tc>
          <w:tcPr>
            <w:tcW w:w="132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78.58</w:t>
            </w:r>
          </w:p>
        </w:tc>
      </w:tr>
      <w:tr w:rsidR="003B4E6C" w:rsidRPr="003B4E6C" w:rsidTr="006C722A">
        <w:trPr>
          <w:trHeight w:val="255"/>
        </w:trPr>
        <w:tc>
          <w:tcPr>
            <w:tcW w:w="555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Instituto de Capacitación para el Trabajo de la Ciudad de México</w:t>
            </w:r>
          </w:p>
        </w:tc>
        <w:tc>
          <w:tcPr>
            <w:tcW w:w="818" w:type="dxa"/>
            <w:shd w:val="clear" w:color="auto" w:fill="C9C9C9" w:themeFill="accent3" w:themeFillTint="99"/>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77.05</w:t>
            </w:r>
          </w:p>
        </w:tc>
        <w:tc>
          <w:tcPr>
            <w:tcW w:w="114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69.94</w:t>
            </w:r>
          </w:p>
        </w:tc>
        <w:tc>
          <w:tcPr>
            <w:tcW w:w="132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84.16</w:t>
            </w:r>
          </w:p>
        </w:tc>
      </w:tr>
      <w:tr w:rsidR="003B4E6C" w:rsidRPr="003B4E6C" w:rsidTr="006C722A">
        <w:trPr>
          <w:trHeight w:val="255"/>
        </w:trPr>
        <w:tc>
          <w:tcPr>
            <w:tcW w:w="5550" w:type="dxa"/>
            <w:noWrap/>
            <w:vAlign w:val="center"/>
            <w:hideMark/>
          </w:tcPr>
          <w:p w:rsidR="003B4E6C" w:rsidRPr="003B4E6C" w:rsidRDefault="003B4E6C" w:rsidP="003B4E6C">
            <w:pPr>
              <w:jc w:val="both"/>
              <w:rPr>
                <w:rFonts w:ascii="Arial Narrow" w:hAnsi="Arial Narrow"/>
                <w:color w:val="000000"/>
                <w:sz w:val="24"/>
                <w:szCs w:val="24"/>
                <w:lang w:val="es-MX"/>
              </w:rPr>
            </w:pPr>
            <w:r w:rsidRPr="003B4E6C">
              <w:rPr>
                <w:rFonts w:ascii="Arial Narrow" w:hAnsi="Arial Narrow"/>
                <w:color w:val="000000"/>
                <w:sz w:val="24"/>
                <w:szCs w:val="24"/>
              </w:rPr>
              <w:t>Sistema de Aguas de la Ciudad de México</w:t>
            </w:r>
          </w:p>
        </w:tc>
        <w:tc>
          <w:tcPr>
            <w:tcW w:w="818" w:type="dxa"/>
            <w:shd w:val="clear" w:color="auto" w:fill="C9C9C9" w:themeFill="accent3" w:themeFillTint="99"/>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99.96</w:t>
            </w:r>
          </w:p>
        </w:tc>
        <w:tc>
          <w:tcPr>
            <w:tcW w:w="114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99.98</w:t>
            </w:r>
          </w:p>
        </w:tc>
        <w:tc>
          <w:tcPr>
            <w:tcW w:w="132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99.95</w:t>
            </w:r>
          </w:p>
        </w:tc>
      </w:tr>
      <w:tr w:rsidR="003B4E6C" w:rsidRPr="003B4E6C" w:rsidTr="006C722A">
        <w:trPr>
          <w:trHeight w:val="255"/>
        </w:trPr>
        <w:tc>
          <w:tcPr>
            <w:tcW w:w="555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Corporación Mexicana de Impresión, S.A. de C.V.</w:t>
            </w:r>
          </w:p>
        </w:tc>
        <w:tc>
          <w:tcPr>
            <w:tcW w:w="818" w:type="dxa"/>
            <w:shd w:val="clear" w:color="auto" w:fill="C9C9C9" w:themeFill="accent3" w:themeFillTint="99"/>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98.6</w:t>
            </w:r>
          </w:p>
        </w:tc>
        <w:tc>
          <w:tcPr>
            <w:tcW w:w="114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98.52</w:t>
            </w:r>
          </w:p>
        </w:tc>
        <w:tc>
          <w:tcPr>
            <w:tcW w:w="132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98.69</w:t>
            </w:r>
          </w:p>
        </w:tc>
      </w:tr>
      <w:tr w:rsidR="003B4E6C" w:rsidRPr="003B4E6C" w:rsidTr="006C722A">
        <w:trPr>
          <w:trHeight w:val="255"/>
        </w:trPr>
        <w:tc>
          <w:tcPr>
            <w:tcW w:w="555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Servicios de Salud Pública del Distrito Federal</w:t>
            </w:r>
          </w:p>
        </w:tc>
        <w:tc>
          <w:tcPr>
            <w:tcW w:w="818" w:type="dxa"/>
            <w:shd w:val="clear" w:color="auto" w:fill="C9C9C9" w:themeFill="accent3" w:themeFillTint="99"/>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97.52</w:t>
            </w:r>
          </w:p>
        </w:tc>
        <w:tc>
          <w:tcPr>
            <w:tcW w:w="114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99.68</w:t>
            </w:r>
          </w:p>
        </w:tc>
        <w:tc>
          <w:tcPr>
            <w:tcW w:w="132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95.37</w:t>
            </w:r>
          </w:p>
        </w:tc>
      </w:tr>
      <w:tr w:rsidR="003B4E6C" w:rsidRPr="003B4E6C" w:rsidTr="006C722A">
        <w:trPr>
          <w:trHeight w:val="255"/>
        </w:trPr>
        <w:tc>
          <w:tcPr>
            <w:tcW w:w="555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Instituto de Verificación Administrativa del Distrito Federal</w:t>
            </w:r>
          </w:p>
        </w:tc>
        <w:tc>
          <w:tcPr>
            <w:tcW w:w="818" w:type="dxa"/>
            <w:shd w:val="clear" w:color="auto" w:fill="C9C9C9" w:themeFill="accent3" w:themeFillTint="99"/>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96.25</w:t>
            </w:r>
          </w:p>
        </w:tc>
        <w:tc>
          <w:tcPr>
            <w:tcW w:w="114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96.2</w:t>
            </w:r>
          </w:p>
        </w:tc>
        <w:tc>
          <w:tcPr>
            <w:tcW w:w="132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96.29</w:t>
            </w:r>
          </w:p>
        </w:tc>
      </w:tr>
      <w:tr w:rsidR="003B4E6C" w:rsidRPr="003B4E6C" w:rsidTr="006C722A">
        <w:trPr>
          <w:trHeight w:val="255"/>
        </w:trPr>
        <w:tc>
          <w:tcPr>
            <w:tcW w:w="555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Escuela de Administración Pública del Distrito Federal</w:t>
            </w:r>
          </w:p>
        </w:tc>
        <w:tc>
          <w:tcPr>
            <w:tcW w:w="818" w:type="dxa"/>
            <w:shd w:val="clear" w:color="auto" w:fill="C9C9C9" w:themeFill="accent3" w:themeFillTint="99"/>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95.95</w:t>
            </w:r>
          </w:p>
        </w:tc>
        <w:tc>
          <w:tcPr>
            <w:tcW w:w="114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94.62</w:t>
            </w:r>
          </w:p>
        </w:tc>
        <w:tc>
          <w:tcPr>
            <w:tcW w:w="132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97.26</w:t>
            </w:r>
          </w:p>
        </w:tc>
      </w:tr>
      <w:tr w:rsidR="003B4E6C" w:rsidRPr="003B4E6C" w:rsidTr="006C722A">
        <w:trPr>
          <w:trHeight w:val="255"/>
        </w:trPr>
        <w:tc>
          <w:tcPr>
            <w:tcW w:w="555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Procuraduría Ambiental y del Ordenamiento Territorial del Distrito Federal</w:t>
            </w:r>
          </w:p>
        </w:tc>
        <w:tc>
          <w:tcPr>
            <w:tcW w:w="818" w:type="dxa"/>
            <w:shd w:val="clear" w:color="auto" w:fill="C9C9C9" w:themeFill="accent3" w:themeFillTint="99"/>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95.95</w:t>
            </w:r>
          </w:p>
        </w:tc>
        <w:tc>
          <w:tcPr>
            <w:tcW w:w="114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92.13</w:t>
            </w:r>
          </w:p>
        </w:tc>
        <w:tc>
          <w:tcPr>
            <w:tcW w:w="132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99.77</w:t>
            </w:r>
          </w:p>
        </w:tc>
      </w:tr>
      <w:tr w:rsidR="003B4E6C" w:rsidRPr="003B4E6C" w:rsidTr="006C722A">
        <w:trPr>
          <w:trHeight w:val="255"/>
        </w:trPr>
        <w:tc>
          <w:tcPr>
            <w:tcW w:w="555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Consejo para Prevenir y Eliminar la Discriminación de la Ciudad de México</w:t>
            </w:r>
          </w:p>
        </w:tc>
        <w:tc>
          <w:tcPr>
            <w:tcW w:w="818" w:type="dxa"/>
            <w:shd w:val="clear" w:color="auto" w:fill="C9C9C9" w:themeFill="accent3" w:themeFillTint="99"/>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94.55</w:t>
            </w:r>
          </w:p>
        </w:tc>
        <w:tc>
          <w:tcPr>
            <w:tcW w:w="114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94.28</w:t>
            </w:r>
          </w:p>
        </w:tc>
        <w:tc>
          <w:tcPr>
            <w:tcW w:w="132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94.82</w:t>
            </w:r>
          </w:p>
        </w:tc>
      </w:tr>
      <w:tr w:rsidR="003B4E6C" w:rsidRPr="003B4E6C" w:rsidTr="006C722A">
        <w:trPr>
          <w:trHeight w:val="255"/>
        </w:trPr>
        <w:tc>
          <w:tcPr>
            <w:tcW w:w="555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Policía Bancaria e Industrial</w:t>
            </w:r>
          </w:p>
        </w:tc>
        <w:tc>
          <w:tcPr>
            <w:tcW w:w="818" w:type="dxa"/>
            <w:shd w:val="clear" w:color="auto" w:fill="C9C9C9" w:themeFill="accent3" w:themeFillTint="99"/>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94.38</w:t>
            </w:r>
          </w:p>
        </w:tc>
        <w:tc>
          <w:tcPr>
            <w:tcW w:w="114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94.12</w:t>
            </w:r>
          </w:p>
        </w:tc>
        <w:tc>
          <w:tcPr>
            <w:tcW w:w="132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94.64</w:t>
            </w:r>
          </w:p>
        </w:tc>
      </w:tr>
      <w:tr w:rsidR="003B4E6C" w:rsidRPr="003B4E6C" w:rsidTr="006C722A">
        <w:trPr>
          <w:trHeight w:val="255"/>
        </w:trPr>
        <w:tc>
          <w:tcPr>
            <w:tcW w:w="555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Junta de Asistencia Privada del Distrito Federal</w:t>
            </w:r>
          </w:p>
        </w:tc>
        <w:tc>
          <w:tcPr>
            <w:tcW w:w="818" w:type="dxa"/>
            <w:shd w:val="clear" w:color="auto" w:fill="C9C9C9" w:themeFill="accent3" w:themeFillTint="99"/>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93.13</w:t>
            </w:r>
          </w:p>
        </w:tc>
        <w:tc>
          <w:tcPr>
            <w:tcW w:w="114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95.71</w:t>
            </w:r>
          </w:p>
        </w:tc>
        <w:tc>
          <w:tcPr>
            <w:tcW w:w="132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90.56</w:t>
            </w:r>
          </w:p>
        </w:tc>
      </w:tr>
      <w:tr w:rsidR="003B4E6C" w:rsidRPr="003B4E6C" w:rsidTr="006C722A">
        <w:trPr>
          <w:trHeight w:val="255"/>
        </w:trPr>
        <w:tc>
          <w:tcPr>
            <w:tcW w:w="555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Sistema para el Desarrollo Integral de la Familia del Distrito Federal</w:t>
            </w:r>
          </w:p>
        </w:tc>
        <w:tc>
          <w:tcPr>
            <w:tcW w:w="818" w:type="dxa"/>
            <w:shd w:val="clear" w:color="auto" w:fill="C9C9C9" w:themeFill="accent3" w:themeFillTint="99"/>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92.86</w:t>
            </w:r>
          </w:p>
        </w:tc>
        <w:tc>
          <w:tcPr>
            <w:tcW w:w="114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89.83</w:t>
            </w:r>
          </w:p>
        </w:tc>
        <w:tc>
          <w:tcPr>
            <w:tcW w:w="132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95.88</w:t>
            </w:r>
          </w:p>
        </w:tc>
      </w:tr>
      <w:tr w:rsidR="003B4E6C" w:rsidRPr="003B4E6C" w:rsidTr="006C722A">
        <w:trPr>
          <w:trHeight w:val="255"/>
        </w:trPr>
        <w:tc>
          <w:tcPr>
            <w:tcW w:w="555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Sistema de Movilidad 1</w:t>
            </w:r>
          </w:p>
        </w:tc>
        <w:tc>
          <w:tcPr>
            <w:tcW w:w="818" w:type="dxa"/>
            <w:shd w:val="clear" w:color="auto" w:fill="C9C9C9" w:themeFill="accent3" w:themeFillTint="99"/>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92.77</w:t>
            </w:r>
          </w:p>
        </w:tc>
        <w:tc>
          <w:tcPr>
            <w:tcW w:w="114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89.1</w:t>
            </w:r>
          </w:p>
        </w:tc>
        <w:tc>
          <w:tcPr>
            <w:tcW w:w="132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96.44</w:t>
            </w:r>
          </w:p>
        </w:tc>
      </w:tr>
      <w:tr w:rsidR="003B4E6C" w:rsidRPr="003B4E6C" w:rsidTr="006C722A">
        <w:trPr>
          <w:trHeight w:val="255"/>
        </w:trPr>
        <w:tc>
          <w:tcPr>
            <w:tcW w:w="555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Instituto de Vivienda del Distrito Federal</w:t>
            </w:r>
          </w:p>
        </w:tc>
        <w:tc>
          <w:tcPr>
            <w:tcW w:w="818" w:type="dxa"/>
            <w:shd w:val="clear" w:color="auto" w:fill="C9C9C9" w:themeFill="accent3" w:themeFillTint="99"/>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91.78</w:t>
            </w:r>
          </w:p>
        </w:tc>
        <w:tc>
          <w:tcPr>
            <w:tcW w:w="114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86.11</w:t>
            </w:r>
          </w:p>
        </w:tc>
        <w:tc>
          <w:tcPr>
            <w:tcW w:w="132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97.45</w:t>
            </w:r>
          </w:p>
        </w:tc>
      </w:tr>
      <w:tr w:rsidR="003B4E6C" w:rsidRPr="003B4E6C" w:rsidTr="006C722A">
        <w:trPr>
          <w:trHeight w:val="255"/>
        </w:trPr>
        <w:tc>
          <w:tcPr>
            <w:tcW w:w="555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Autoridad del Centro Histórico</w:t>
            </w:r>
          </w:p>
        </w:tc>
        <w:tc>
          <w:tcPr>
            <w:tcW w:w="818" w:type="dxa"/>
            <w:shd w:val="clear" w:color="auto" w:fill="C9C9C9" w:themeFill="accent3" w:themeFillTint="99"/>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90.24</w:t>
            </w:r>
          </w:p>
        </w:tc>
        <w:tc>
          <w:tcPr>
            <w:tcW w:w="114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93.56</w:t>
            </w:r>
          </w:p>
        </w:tc>
        <w:tc>
          <w:tcPr>
            <w:tcW w:w="132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86.92</w:t>
            </w:r>
          </w:p>
        </w:tc>
      </w:tr>
      <w:tr w:rsidR="003B4E6C" w:rsidRPr="003B4E6C" w:rsidTr="006C722A">
        <w:trPr>
          <w:trHeight w:val="255"/>
        </w:trPr>
        <w:tc>
          <w:tcPr>
            <w:tcW w:w="555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Instituto de las Mujeres del Distrito Federal</w:t>
            </w:r>
          </w:p>
        </w:tc>
        <w:tc>
          <w:tcPr>
            <w:tcW w:w="818" w:type="dxa"/>
            <w:shd w:val="clear" w:color="auto" w:fill="C9C9C9" w:themeFill="accent3" w:themeFillTint="99"/>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88.74</w:t>
            </w:r>
          </w:p>
        </w:tc>
        <w:tc>
          <w:tcPr>
            <w:tcW w:w="114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88.65</w:t>
            </w:r>
          </w:p>
        </w:tc>
        <w:tc>
          <w:tcPr>
            <w:tcW w:w="132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88.84</w:t>
            </w:r>
          </w:p>
        </w:tc>
      </w:tr>
      <w:tr w:rsidR="003B4E6C" w:rsidRPr="003B4E6C" w:rsidTr="006C722A">
        <w:trPr>
          <w:trHeight w:val="255"/>
        </w:trPr>
        <w:tc>
          <w:tcPr>
            <w:tcW w:w="555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Policía Auxiliar</w:t>
            </w:r>
          </w:p>
        </w:tc>
        <w:tc>
          <w:tcPr>
            <w:tcW w:w="818" w:type="dxa"/>
            <w:shd w:val="clear" w:color="auto" w:fill="C9C9C9" w:themeFill="accent3" w:themeFillTint="99"/>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88.57</w:t>
            </w:r>
          </w:p>
        </w:tc>
        <w:tc>
          <w:tcPr>
            <w:tcW w:w="114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89.93</w:t>
            </w:r>
          </w:p>
        </w:tc>
        <w:tc>
          <w:tcPr>
            <w:tcW w:w="132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87.21</w:t>
            </w:r>
          </w:p>
        </w:tc>
      </w:tr>
      <w:tr w:rsidR="003B4E6C" w:rsidRPr="003B4E6C" w:rsidTr="006C722A">
        <w:trPr>
          <w:trHeight w:val="255"/>
        </w:trPr>
        <w:tc>
          <w:tcPr>
            <w:tcW w:w="555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Caja de Previsión de la Policía Preventiva del Distrito Federal</w:t>
            </w:r>
          </w:p>
        </w:tc>
        <w:tc>
          <w:tcPr>
            <w:tcW w:w="818" w:type="dxa"/>
            <w:shd w:val="clear" w:color="auto" w:fill="C9C9C9" w:themeFill="accent3" w:themeFillTint="99"/>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88.16</w:t>
            </w:r>
          </w:p>
        </w:tc>
        <w:tc>
          <w:tcPr>
            <w:tcW w:w="114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87.32</w:t>
            </w:r>
          </w:p>
        </w:tc>
        <w:tc>
          <w:tcPr>
            <w:tcW w:w="132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89</w:t>
            </w:r>
          </w:p>
        </w:tc>
      </w:tr>
      <w:tr w:rsidR="003B4E6C" w:rsidRPr="003B4E6C" w:rsidTr="006C722A">
        <w:trPr>
          <w:trHeight w:val="255"/>
        </w:trPr>
        <w:tc>
          <w:tcPr>
            <w:tcW w:w="555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lastRenderedPageBreak/>
              <w:t>Caja de Previsión para Trabajadores a Lista de Raya del Distrito Federal</w:t>
            </w:r>
          </w:p>
        </w:tc>
        <w:tc>
          <w:tcPr>
            <w:tcW w:w="818" w:type="dxa"/>
            <w:shd w:val="clear" w:color="auto" w:fill="C9C9C9" w:themeFill="accent3" w:themeFillTint="99"/>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85.49</w:t>
            </w:r>
          </w:p>
        </w:tc>
        <w:tc>
          <w:tcPr>
            <w:tcW w:w="114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82.16</w:t>
            </w:r>
          </w:p>
        </w:tc>
        <w:tc>
          <w:tcPr>
            <w:tcW w:w="132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88.82</w:t>
            </w:r>
          </w:p>
        </w:tc>
      </w:tr>
      <w:tr w:rsidR="003B4E6C" w:rsidRPr="003B4E6C" w:rsidTr="006C722A">
        <w:trPr>
          <w:trHeight w:val="255"/>
        </w:trPr>
        <w:tc>
          <w:tcPr>
            <w:tcW w:w="555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Instituto de Formación Profesional</w:t>
            </w:r>
          </w:p>
        </w:tc>
        <w:tc>
          <w:tcPr>
            <w:tcW w:w="818" w:type="dxa"/>
            <w:shd w:val="clear" w:color="auto" w:fill="C9C9C9" w:themeFill="accent3" w:themeFillTint="99"/>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84.14</w:t>
            </w:r>
          </w:p>
        </w:tc>
        <w:tc>
          <w:tcPr>
            <w:tcW w:w="114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73.28</w:t>
            </w:r>
          </w:p>
        </w:tc>
        <w:tc>
          <w:tcPr>
            <w:tcW w:w="1320" w:type="dxa"/>
            <w:noWrap/>
            <w:vAlign w:val="center"/>
            <w:hideMark/>
          </w:tcPr>
          <w:p w:rsidR="003B4E6C" w:rsidRPr="003B4E6C" w:rsidRDefault="003B4E6C" w:rsidP="003B4E6C">
            <w:pPr>
              <w:jc w:val="both"/>
              <w:rPr>
                <w:rFonts w:ascii="Arial Narrow" w:hAnsi="Arial Narrow"/>
                <w:color w:val="000000"/>
                <w:sz w:val="24"/>
                <w:szCs w:val="24"/>
              </w:rPr>
            </w:pPr>
            <w:r w:rsidRPr="003B4E6C">
              <w:rPr>
                <w:rFonts w:ascii="Arial Narrow" w:hAnsi="Arial Narrow"/>
                <w:color w:val="000000"/>
                <w:sz w:val="24"/>
                <w:szCs w:val="24"/>
              </w:rPr>
              <w:t>95</w:t>
            </w:r>
          </w:p>
        </w:tc>
      </w:tr>
    </w:tbl>
    <w:p w:rsidR="00AF69FA" w:rsidRPr="006C722A" w:rsidRDefault="006C722A" w:rsidP="002E7D47">
      <w:pPr>
        <w:spacing w:before="100" w:beforeAutospacing="1" w:after="100" w:afterAutospacing="1" w:line="360" w:lineRule="auto"/>
        <w:contextualSpacing/>
        <w:jc w:val="both"/>
        <w:rPr>
          <w:rFonts w:ascii="Arial Narrow" w:hAnsi="Arial Narrow" w:cs="Arial"/>
          <w:sz w:val="20"/>
          <w:szCs w:val="24"/>
        </w:rPr>
      </w:pPr>
      <w:r w:rsidRPr="006C722A">
        <w:rPr>
          <w:rFonts w:ascii="Arial Narrow" w:hAnsi="Arial Narrow" w:cs="Arial"/>
          <w:b/>
          <w:sz w:val="20"/>
          <w:szCs w:val="24"/>
        </w:rPr>
        <w:t>Nota metodológica</w:t>
      </w:r>
      <w:r w:rsidRPr="006C722A">
        <w:rPr>
          <w:rFonts w:ascii="Arial Narrow" w:hAnsi="Arial Narrow" w:cs="Arial"/>
          <w:sz w:val="20"/>
          <w:szCs w:val="24"/>
        </w:rPr>
        <w:t>: El IGOT se compone del promedio de ICOT-P</w:t>
      </w:r>
      <w:r w:rsidR="00623A69">
        <w:rPr>
          <w:rFonts w:ascii="Arial Narrow" w:hAnsi="Arial Narrow" w:cs="Arial"/>
          <w:sz w:val="20"/>
          <w:szCs w:val="24"/>
        </w:rPr>
        <w:t>T</w:t>
      </w:r>
      <w:r w:rsidRPr="006C722A">
        <w:rPr>
          <w:rFonts w:ascii="Arial Narrow" w:hAnsi="Arial Narrow" w:cs="Arial"/>
          <w:sz w:val="20"/>
          <w:szCs w:val="24"/>
        </w:rPr>
        <w:t xml:space="preserve"> e ICOT-PNT.</w:t>
      </w:r>
    </w:p>
    <w:p w:rsidR="00AF69FA" w:rsidRPr="00CD728B" w:rsidRDefault="00AF69FA"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 xml:space="preserve">En atención a la Tabla de Aplicabilidad realizada por la DEAEE del Instituto, las obligaciones que los órganos desconcentrados deben actualizar y publicar en el SIPOT de la PNT, así como en sus respectivos portales de internet son las contempladas en los siguientes </w:t>
      </w:r>
      <w:r w:rsidR="009D7771">
        <w:rPr>
          <w:rFonts w:ascii="Arial Narrow" w:hAnsi="Arial Narrow" w:cs="Arial"/>
          <w:sz w:val="24"/>
          <w:szCs w:val="24"/>
        </w:rPr>
        <w:t>Artículo</w:t>
      </w:r>
      <w:r w:rsidRPr="00CD728B">
        <w:rPr>
          <w:rFonts w:ascii="Arial Narrow" w:hAnsi="Arial Narrow" w:cs="Arial"/>
          <w:sz w:val="24"/>
          <w:szCs w:val="24"/>
        </w:rPr>
        <w:t xml:space="preserve">s: </w:t>
      </w:r>
    </w:p>
    <w:p w:rsidR="00AF69FA" w:rsidRPr="00CD728B" w:rsidRDefault="009D7771" w:rsidP="002E7D47">
      <w:pPr>
        <w:pStyle w:val="Prrafodelista"/>
        <w:numPr>
          <w:ilvl w:val="0"/>
          <w:numId w:val="14"/>
        </w:numPr>
        <w:spacing w:before="100" w:beforeAutospacing="1" w:after="100" w:afterAutospacing="1" w:line="360" w:lineRule="auto"/>
        <w:jc w:val="both"/>
        <w:rPr>
          <w:rFonts w:ascii="Arial Narrow" w:hAnsi="Arial Narrow" w:cs="Arial"/>
          <w:sz w:val="24"/>
          <w:szCs w:val="24"/>
          <w:lang w:val="es-ES_tradnl"/>
        </w:rPr>
      </w:pPr>
      <w:r>
        <w:rPr>
          <w:rFonts w:ascii="Arial Narrow" w:hAnsi="Arial Narrow" w:cs="Arial"/>
          <w:sz w:val="24"/>
          <w:szCs w:val="24"/>
          <w:lang w:val="es-ES_tradnl"/>
        </w:rPr>
        <w:t>Artículo</w:t>
      </w:r>
      <w:r w:rsidR="00AF69FA" w:rsidRPr="00CD728B">
        <w:rPr>
          <w:rFonts w:ascii="Arial Narrow" w:hAnsi="Arial Narrow" w:cs="Arial"/>
          <w:sz w:val="24"/>
          <w:szCs w:val="24"/>
          <w:lang w:val="es-ES_tradnl"/>
        </w:rPr>
        <w:t xml:space="preserve"> 121. Obligaciones comunes, </w:t>
      </w:r>
    </w:p>
    <w:p w:rsidR="00AF69FA" w:rsidRPr="00CD728B" w:rsidRDefault="009D7771" w:rsidP="002E7D47">
      <w:pPr>
        <w:pStyle w:val="Prrafodelista"/>
        <w:numPr>
          <w:ilvl w:val="0"/>
          <w:numId w:val="14"/>
        </w:numPr>
        <w:spacing w:before="100" w:beforeAutospacing="1" w:after="100" w:afterAutospacing="1" w:line="360" w:lineRule="auto"/>
        <w:jc w:val="both"/>
        <w:rPr>
          <w:rFonts w:ascii="Arial Narrow" w:hAnsi="Arial Narrow" w:cs="Arial"/>
          <w:sz w:val="24"/>
          <w:szCs w:val="24"/>
          <w:lang w:val="es-ES_tradnl"/>
        </w:rPr>
      </w:pPr>
      <w:r>
        <w:rPr>
          <w:rFonts w:ascii="Arial Narrow" w:hAnsi="Arial Narrow" w:cs="Arial"/>
          <w:sz w:val="24"/>
          <w:szCs w:val="24"/>
          <w:lang w:val="es-ES_tradnl"/>
        </w:rPr>
        <w:t>Artículo</w:t>
      </w:r>
      <w:r w:rsidR="00AF69FA" w:rsidRPr="00CD728B">
        <w:rPr>
          <w:rFonts w:ascii="Arial Narrow" w:hAnsi="Arial Narrow" w:cs="Arial"/>
          <w:sz w:val="24"/>
          <w:szCs w:val="24"/>
          <w:lang w:val="es-ES_tradnl"/>
        </w:rPr>
        <w:t xml:space="preserve"> 123. Obligaciones específicas del Poder Ejecutivo,</w:t>
      </w:r>
    </w:p>
    <w:p w:rsidR="00AF69FA" w:rsidRPr="00CD728B" w:rsidRDefault="009D7771" w:rsidP="002E7D47">
      <w:pPr>
        <w:pStyle w:val="Prrafodelista"/>
        <w:numPr>
          <w:ilvl w:val="0"/>
          <w:numId w:val="14"/>
        </w:numPr>
        <w:spacing w:before="100" w:beforeAutospacing="1" w:after="100" w:afterAutospacing="1" w:line="360" w:lineRule="auto"/>
        <w:jc w:val="both"/>
        <w:rPr>
          <w:rFonts w:ascii="Arial Narrow" w:hAnsi="Arial Narrow" w:cs="Arial"/>
          <w:sz w:val="24"/>
          <w:szCs w:val="24"/>
          <w:lang w:val="es-ES_tradnl"/>
        </w:rPr>
      </w:pPr>
      <w:r>
        <w:rPr>
          <w:rFonts w:ascii="Arial Narrow" w:hAnsi="Arial Narrow" w:cs="Arial"/>
          <w:sz w:val="24"/>
          <w:szCs w:val="24"/>
          <w:lang w:val="es-ES_tradnl"/>
        </w:rPr>
        <w:t>Artículo</w:t>
      </w:r>
      <w:r w:rsidR="00AF69FA" w:rsidRPr="00CD728B">
        <w:rPr>
          <w:rFonts w:ascii="Arial Narrow" w:hAnsi="Arial Narrow" w:cs="Arial"/>
          <w:sz w:val="24"/>
          <w:szCs w:val="24"/>
          <w:lang w:val="es-ES_tradnl"/>
        </w:rPr>
        <w:t xml:space="preserve"> 143. Disposiciones Particulares,</w:t>
      </w:r>
    </w:p>
    <w:p w:rsidR="00AF69FA" w:rsidRPr="00CD728B" w:rsidRDefault="009D7771" w:rsidP="002E7D47">
      <w:pPr>
        <w:pStyle w:val="Prrafodelista"/>
        <w:numPr>
          <w:ilvl w:val="0"/>
          <w:numId w:val="14"/>
        </w:numPr>
        <w:spacing w:before="100" w:beforeAutospacing="1" w:after="100" w:afterAutospacing="1" w:line="360" w:lineRule="auto"/>
        <w:jc w:val="both"/>
        <w:rPr>
          <w:rFonts w:ascii="Arial Narrow" w:hAnsi="Arial Narrow" w:cs="Arial"/>
          <w:sz w:val="24"/>
          <w:szCs w:val="24"/>
          <w:lang w:val="es-ES_tradnl"/>
        </w:rPr>
      </w:pPr>
      <w:r>
        <w:rPr>
          <w:rFonts w:ascii="Arial Narrow" w:hAnsi="Arial Narrow" w:cs="Arial"/>
          <w:sz w:val="24"/>
          <w:szCs w:val="24"/>
          <w:lang w:val="es-ES_tradnl"/>
        </w:rPr>
        <w:t>Artículo</w:t>
      </w:r>
      <w:r w:rsidR="00AF69FA" w:rsidRPr="00CD728B">
        <w:rPr>
          <w:rFonts w:ascii="Arial Narrow" w:hAnsi="Arial Narrow" w:cs="Arial"/>
          <w:sz w:val="24"/>
          <w:szCs w:val="24"/>
          <w:lang w:val="es-ES_tradnl"/>
        </w:rPr>
        <w:t xml:space="preserve"> 145. Disposiciones Particulares,</w:t>
      </w:r>
    </w:p>
    <w:p w:rsidR="00AF69FA" w:rsidRPr="00CD728B" w:rsidRDefault="009D7771" w:rsidP="002E7D47">
      <w:pPr>
        <w:pStyle w:val="Prrafodelista"/>
        <w:numPr>
          <w:ilvl w:val="0"/>
          <w:numId w:val="14"/>
        </w:numPr>
        <w:spacing w:before="100" w:beforeAutospacing="1" w:after="100" w:afterAutospacing="1" w:line="360" w:lineRule="auto"/>
        <w:jc w:val="both"/>
        <w:rPr>
          <w:rFonts w:ascii="Arial Narrow" w:hAnsi="Arial Narrow" w:cs="Arial"/>
          <w:sz w:val="24"/>
          <w:szCs w:val="24"/>
          <w:lang w:val="es-ES_tradnl"/>
        </w:rPr>
      </w:pPr>
      <w:r>
        <w:rPr>
          <w:rFonts w:ascii="Arial Narrow" w:hAnsi="Arial Narrow" w:cs="Arial"/>
          <w:sz w:val="24"/>
          <w:szCs w:val="24"/>
          <w:lang w:val="es-ES_tradnl"/>
        </w:rPr>
        <w:t>Artículo</w:t>
      </w:r>
      <w:r w:rsidR="00AF69FA" w:rsidRPr="00CD728B">
        <w:rPr>
          <w:rFonts w:ascii="Arial Narrow" w:hAnsi="Arial Narrow" w:cs="Arial"/>
          <w:sz w:val="24"/>
          <w:szCs w:val="24"/>
          <w:lang w:val="es-ES_tradnl"/>
        </w:rPr>
        <w:t xml:space="preserve"> 146. Disposiciones Particulares, y </w:t>
      </w:r>
    </w:p>
    <w:p w:rsidR="00AF69FA" w:rsidRPr="00CD728B" w:rsidRDefault="009D7771" w:rsidP="002E7D47">
      <w:pPr>
        <w:pStyle w:val="Prrafodelista"/>
        <w:numPr>
          <w:ilvl w:val="0"/>
          <w:numId w:val="14"/>
        </w:numPr>
        <w:spacing w:before="100" w:beforeAutospacing="1" w:after="100" w:afterAutospacing="1" w:line="360" w:lineRule="auto"/>
        <w:jc w:val="both"/>
        <w:rPr>
          <w:rFonts w:ascii="Arial Narrow" w:hAnsi="Arial Narrow" w:cs="Arial"/>
          <w:sz w:val="24"/>
          <w:szCs w:val="24"/>
          <w:lang w:val="es-ES_tradnl"/>
        </w:rPr>
      </w:pPr>
      <w:r>
        <w:rPr>
          <w:rFonts w:ascii="Arial Narrow" w:hAnsi="Arial Narrow" w:cs="Arial"/>
          <w:sz w:val="24"/>
          <w:szCs w:val="24"/>
          <w:lang w:val="es-ES_tradnl"/>
        </w:rPr>
        <w:t>Artículo</w:t>
      </w:r>
      <w:r w:rsidR="00AF69FA" w:rsidRPr="00CD728B">
        <w:rPr>
          <w:rFonts w:ascii="Arial Narrow" w:hAnsi="Arial Narrow" w:cs="Arial"/>
          <w:sz w:val="24"/>
          <w:szCs w:val="24"/>
          <w:lang w:val="es-ES_tradnl"/>
        </w:rPr>
        <w:t xml:space="preserve"> 147. Disposiciones Particulares.</w:t>
      </w:r>
    </w:p>
    <w:p w:rsidR="00674513" w:rsidRPr="00CD728B" w:rsidRDefault="00674513" w:rsidP="002E7D47">
      <w:pPr>
        <w:pStyle w:val="Ttulo3"/>
        <w:numPr>
          <w:ilvl w:val="2"/>
          <w:numId w:val="16"/>
        </w:numPr>
        <w:contextualSpacing/>
        <w:rPr>
          <w:rFonts w:ascii="Arial Narrow" w:hAnsi="Arial Narrow"/>
          <w:b/>
          <w:color w:val="auto"/>
        </w:rPr>
      </w:pPr>
      <w:bookmarkStart w:id="21" w:name="_Toc14293722"/>
      <w:r w:rsidRPr="00CD728B">
        <w:rPr>
          <w:rFonts w:ascii="Arial Narrow" w:hAnsi="Arial Narrow"/>
          <w:b/>
          <w:color w:val="auto"/>
        </w:rPr>
        <w:t>Análisis global de cumplimiento de los Órganos Desconcentrados</w:t>
      </w:r>
      <w:bookmarkEnd w:id="21"/>
    </w:p>
    <w:p w:rsidR="00AF69FA" w:rsidRPr="00CD728B" w:rsidRDefault="00AF69FA" w:rsidP="002E7D47">
      <w:pPr>
        <w:spacing w:before="100" w:beforeAutospacing="1" w:after="100" w:afterAutospacing="1" w:line="360" w:lineRule="auto"/>
        <w:contextualSpacing/>
        <w:jc w:val="both"/>
        <w:rPr>
          <w:rFonts w:ascii="Arial Narrow" w:hAnsi="Arial Narrow" w:cs="Arial"/>
          <w:sz w:val="24"/>
          <w:szCs w:val="24"/>
          <w:u w:val="single"/>
        </w:rPr>
      </w:pPr>
      <w:r w:rsidRPr="00CD728B">
        <w:rPr>
          <w:rFonts w:ascii="Arial Narrow" w:hAnsi="Arial Narrow" w:cs="Arial"/>
          <w:sz w:val="24"/>
          <w:szCs w:val="24"/>
          <w:u w:val="single"/>
        </w:rPr>
        <w:t xml:space="preserve">Índices Globales de Cumplimiento </w:t>
      </w:r>
    </w:p>
    <w:p w:rsidR="00EE5F08" w:rsidRPr="00CD728B" w:rsidRDefault="00EE5F08" w:rsidP="002E7D47">
      <w:pPr>
        <w:spacing w:before="100" w:beforeAutospacing="1" w:after="100" w:afterAutospacing="1" w:line="360" w:lineRule="auto"/>
        <w:contextualSpacing/>
        <w:jc w:val="both"/>
        <w:rPr>
          <w:rFonts w:ascii="Arial Narrow" w:hAnsi="Arial Narrow" w:cs="Arial"/>
          <w:sz w:val="24"/>
          <w:szCs w:val="24"/>
          <w:u w:val="single"/>
        </w:rPr>
      </w:pPr>
    </w:p>
    <w:p w:rsidR="00AF69FA" w:rsidRPr="00CD728B" w:rsidRDefault="00AF69FA"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 xml:space="preserve">Con relación al IGOT, la calificación más alta fue de 100 y las más baja de 13.46; obteniendo este ámbito una calificación promedio de 76.77, lo anterior puesto que el </w:t>
      </w:r>
      <w:r w:rsidRPr="00CD728B">
        <w:rPr>
          <w:rFonts w:ascii="Arial Narrow" w:hAnsi="Arial Narrow"/>
          <w:sz w:val="24"/>
          <w:szCs w:val="24"/>
        </w:rPr>
        <w:t xml:space="preserve">C5 y el </w:t>
      </w:r>
      <w:proofErr w:type="spellStart"/>
      <w:r w:rsidRPr="00CD728B">
        <w:rPr>
          <w:rFonts w:ascii="Arial Narrow" w:hAnsi="Arial Narrow"/>
          <w:sz w:val="24"/>
          <w:szCs w:val="24"/>
        </w:rPr>
        <w:t>Metrobús</w:t>
      </w:r>
      <w:proofErr w:type="spellEnd"/>
      <w:r w:rsidRPr="00CD728B">
        <w:rPr>
          <w:rFonts w:ascii="Arial Narrow" w:hAnsi="Arial Narrow" w:cs="Arial"/>
          <w:sz w:val="24"/>
          <w:szCs w:val="24"/>
        </w:rPr>
        <w:t xml:space="preserve"> cumplieron </w:t>
      </w:r>
      <w:r w:rsidRPr="00CD728B">
        <w:rPr>
          <w:rFonts w:ascii="Arial Narrow" w:hAnsi="Arial Narrow" w:cs="Arial"/>
          <w:sz w:val="24"/>
          <w:szCs w:val="24"/>
        </w:rPr>
        <w:lastRenderedPageBreak/>
        <w:t>totalmente, 39</w:t>
      </w:r>
      <w:r w:rsidRPr="00CD728B">
        <w:rPr>
          <w:rStyle w:val="Refdenotaalpie"/>
          <w:rFonts w:ascii="Arial Narrow" w:hAnsi="Arial Narrow" w:cs="Arial"/>
          <w:sz w:val="24"/>
          <w:szCs w:val="24"/>
        </w:rPr>
        <w:footnoteReference w:id="21"/>
      </w:r>
      <w:r w:rsidRPr="00CD728B">
        <w:rPr>
          <w:rFonts w:ascii="Arial Narrow" w:hAnsi="Arial Narrow" w:cs="Arial"/>
          <w:sz w:val="24"/>
          <w:szCs w:val="24"/>
        </w:rPr>
        <w:t xml:space="preserve"> cumplieron parcialmente obteniendo entre 60.71 y 99.96, y ocho</w:t>
      </w:r>
      <w:r w:rsidRPr="00CD728B">
        <w:rPr>
          <w:rStyle w:val="Refdenotaalpie"/>
          <w:rFonts w:ascii="Arial Narrow" w:hAnsi="Arial Narrow" w:cs="Arial"/>
          <w:sz w:val="24"/>
          <w:szCs w:val="24"/>
        </w:rPr>
        <w:footnoteReference w:id="22"/>
      </w:r>
      <w:r w:rsidRPr="00CD728B">
        <w:rPr>
          <w:rFonts w:ascii="Arial Narrow" w:hAnsi="Arial Narrow" w:cs="Arial"/>
          <w:sz w:val="24"/>
          <w:szCs w:val="24"/>
        </w:rPr>
        <w:t xml:space="preserve"> incumplieron parcialmente obteniendo entre 13.46 y 50.45. </w:t>
      </w:r>
    </w:p>
    <w:p w:rsidR="00EE5F08" w:rsidRPr="00CD728B" w:rsidRDefault="00EE5F08" w:rsidP="002E7D47">
      <w:pPr>
        <w:spacing w:before="100" w:beforeAutospacing="1" w:after="100" w:afterAutospacing="1" w:line="360" w:lineRule="auto"/>
        <w:contextualSpacing/>
        <w:jc w:val="both"/>
        <w:rPr>
          <w:rFonts w:ascii="Arial Narrow" w:hAnsi="Arial Narrow" w:cs="Arial"/>
          <w:sz w:val="24"/>
          <w:szCs w:val="24"/>
        </w:rPr>
      </w:pPr>
    </w:p>
    <w:p w:rsidR="00AF69FA" w:rsidRPr="00CD728B" w:rsidRDefault="00AF69FA"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 xml:space="preserve">En este ámbito existe un grado de cumplimiento de 76.77% en lo que respecta a la publicación general de la información, 78.21% en la PNT y un 68.20% en los portales institucionales de los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w:t>
      </w:r>
    </w:p>
    <w:p w:rsidR="00EE5F08" w:rsidRPr="00CD728B" w:rsidRDefault="00EE5F08" w:rsidP="002E7D47">
      <w:pPr>
        <w:spacing w:before="100" w:beforeAutospacing="1" w:after="100" w:afterAutospacing="1" w:line="360" w:lineRule="auto"/>
        <w:contextualSpacing/>
        <w:jc w:val="both"/>
        <w:rPr>
          <w:rFonts w:ascii="Arial Narrow" w:hAnsi="Arial Narrow" w:cs="Arial"/>
          <w:sz w:val="24"/>
          <w:szCs w:val="24"/>
        </w:rPr>
      </w:pPr>
    </w:p>
    <w:p w:rsidR="00AF69FA" w:rsidRPr="00CD728B" w:rsidRDefault="00AF69FA" w:rsidP="002E7D47">
      <w:pPr>
        <w:spacing w:before="100" w:beforeAutospacing="1" w:after="100" w:afterAutospacing="1" w:line="360" w:lineRule="auto"/>
        <w:contextualSpacing/>
        <w:jc w:val="both"/>
        <w:rPr>
          <w:rFonts w:ascii="Arial Narrow" w:hAnsi="Arial Narrow" w:cs="Arial"/>
          <w:sz w:val="24"/>
          <w:szCs w:val="24"/>
          <w:u w:val="single"/>
        </w:rPr>
      </w:pPr>
      <w:r w:rsidRPr="00CD728B">
        <w:rPr>
          <w:rFonts w:ascii="Arial Narrow" w:hAnsi="Arial Narrow" w:cs="Arial"/>
          <w:sz w:val="24"/>
          <w:szCs w:val="24"/>
          <w:u w:val="single"/>
        </w:rPr>
        <w:t xml:space="preserve">Cumplimiento diferenciado por </w:t>
      </w:r>
      <w:r w:rsidR="009D7771">
        <w:rPr>
          <w:rFonts w:ascii="Arial Narrow" w:hAnsi="Arial Narrow" w:cs="Arial"/>
          <w:sz w:val="24"/>
          <w:szCs w:val="24"/>
          <w:u w:val="single"/>
        </w:rPr>
        <w:t>Artículo</w:t>
      </w:r>
      <w:r w:rsidRPr="00CD728B">
        <w:rPr>
          <w:rFonts w:ascii="Arial Narrow" w:hAnsi="Arial Narrow" w:cs="Arial"/>
          <w:sz w:val="24"/>
          <w:szCs w:val="24"/>
          <w:u w:val="single"/>
        </w:rPr>
        <w:t xml:space="preserve">s </w:t>
      </w:r>
    </w:p>
    <w:p w:rsidR="00EE5F08" w:rsidRPr="00CD728B" w:rsidRDefault="00EE5F08" w:rsidP="002E7D47">
      <w:pPr>
        <w:spacing w:before="100" w:beforeAutospacing="1" w:after="100" w:afterAutospacing="1" w:line="360" w:lineRule="auto"/>
        <w:contextualSpacing/>
        <w:jc w:val="both"/>
        <w:rPr>
          <w:rFonts w:ascii="Arial Narrow" w:hAnsi="Arial Narrow" w:cs="Arial"/>
          <w:sz w:val="24"/>
          <w:szCs w:val="24"/>
          <w:u w:val="single"/>
        </w:rPr>
      </w:pPr>
    </w:p>
    <w:p w:rsidR="00AF69FA" w:rsidRPr="00CD728B" w:rsidRDefault="00AF69FA"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 xml:space="preserve">Con relación al tipo de obligaciones de transparencia, este ámbito ha cumplido parcialmente en la publicación y actualización de sus obligaciones comunes, específicas y disposiciones particulares; obteniendo un promedio de cumplimiento de 76.39%, 72.60% y 82.24% respectivamente. </w:t>
      </w:r>
    </w:p>
    <w:p w:rsidR="00EE5F08" w:rsidRPr="00CD728B" w:rsidRDefault="00EE5F08" w:rsidP="002E7D47">
      <w:pPr>
        <w:spacing w:before="100" w:beforeAutospacing="1" w:after="100" w:afterAutospacing="1" w:line="360" w:lineRule="auto"/>
        <w:contextualSpacing/>
        <w:jc w:val="both"/>
        <w:rPr>
          <w:rFonts w:ascii="Arial Narrow" w:hAnsi="Arial Narrow" w:cs="Arial"/>
          <w:sz w:val="24"/>
          <w:szCs w:val="24"/>
        </w:rPr>
      </w:pPr>
    </w:p>
    <w:p w:rsidR="00AF69FA" w:rsidRPr="00CD728B" w:rsidRDefault="00AF69FA"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lastRenderedPageBreak/>
        <w:t xml:space="preserve">En esta misma línea, el </w:t>
      </w:r>
      <w:r w:rsidR="009D7771">
        <w:rPr>
          <w:rFonts w:ascii="Arial Narrow" w:hAnsi="Arial Narrow" w:cs="Arial"/>
          <w:sz w:val="24"/>
          <w:szCs w:val="24"/>
        </w:rPr>
        <w:t>Artículo</w:t>
      </w:r>
      <w:r w:rsidRPr="00CD728B">
        <w:rPr>
          <w:rFonts w:ascii="Arial Narrow" w:hAnsi="Arial Narrow" w:cs="Arial"/>
          <w:sz w:val="24"/>
          <w:szCs w:val="24"/>
        </w:rPr>
        <w:t xml:space="preserve"> 145 tuvo un ICP de 98.60%, el 143 de 85.96%, el 147 de 80.27</w:t>
      </w:r>
      <w:r w:rsidR="00B015A8" w:rsidRPr="00CD728B">
        <w:rPr>
          <w:rFonts w:ascii="Arial Narrow" w:hAnsi="Arial Narrow" w:cs="Arial"/>
          <w:sz w:val="24"/>
          <w:szCs w:val="24"/>
        </w:rPr>
        <w:t>%</w:t>
      </w:r>
      <w:r w:rsidR="003250DC">
        <w:rPr>
          <w:rFonts w:ascii="Arial Narrow" w:hAnsi="Arial Narrow" w:cs="Arial"/>
          <w:sz w:val="24"/>
          <w:szCs w:val="24"/>
        </w:rPr>
        <w:t>, el</w:t>
      </w:r>
      <w:r w:rsidR="003250DC" w:rsidRPr="00CD728B">
        <w:rPr>
          <w:rFonts w:ascii="Arial Narrow" w:hAnsi="Arial Narrow" w:cs="Arial"/>
          <w:sz w:val="24"/>
          <w:szCs w:val="24"/>
        </w:rPr>
        <w:t xml:space="preserve"> 121 de 76.39% </w:t>
      </w:r>
      <w:r w:rsidR="003250DC">
        <w:rPr>
          <w:rFonts w:ascii="Arial Narrow" w:hAnsi="Arial Narrow" w:cs="Arial"/>
          <w:sz w:val="24"/>
          <w:szCs w:val="24"/>
        </w:rPr>
        <w:t xml:space="preserve"> el </w:t>
      </w:r>
      <w:r w:rsidRPr="00CD728B">
        <w:rPr>
          <w:rFonts w:ascii="Arial Narrow" w:hAnsi="Arial Narrow" w:cs="Arial"/>
          <w:sz w:val="24"/>
          <w:szCs w:val="24"/>
        </w:rPr>
        <w:t xml:space="preserve">123 de 72.60%, y el 146 de 64.14%; ubicándose todos en un cumplimiento parcial. </w:t>
      </w:r>
    </w:p>
    <w:p w:rsidR="00EE5F08" w:rsidRPr="00CD728B" w:rsidRDefault="00EE5F08" w:rsidP="002E7D47">
      <w:pPr>
        <w:spacing w:before="100" w:beforeAutospacing="1" w:after="100" w:afterAutospacing="1" w:line="360" w:lineRule="auto"/>
        <w:contextualSpacing/>
        <w:jc w:val="both"/>
        <w:rPr>
          <w:rFonts w:ascii="Arial Narrow" w:hAnsi="Arial Narrow" w:cs="Arial"/>
          <w:sz w:val="24"/>
          <w:szCs w:val="24"/>
        </w:rPr>
      </w:pPr>
    </w:p>
    <w:p w:rsidR="00AF69FA" w:rsidRPr="00CD728B" w:rsidRDefault="00AF69FA" w:rsidP="002E7D47">
      <w:pPr>
        <w:pStyle w:val="Ttulo3"/>
        <w:numPr>
          <w:ilvl w:val="2"/>
          <w:numId w:val="16"/>
        </w:numPr>
        <w:contextualSpacing/>
        <w:rPr>
          <w:rFonts w:ascii="Arial Narrow" w:hAnsi="Arial Narrow"/>
          <w:b/>
          <w:color w:val="auto"/>
        </w:rPr>
      </w:pPr>
      <w:bookmarkStart w:id="22" w:name="_Toc14293723"/>
      <w:r w:rsidRPr="00CD728B">
        <w:rPr>
          <w:rFonts w:ascii="Arial Narrow" w:hAnsi="Arial Narrow"/>
          <w:b/>
          <w:color w:val="auto"/>
        </w:rPr>
        <w:t xml:space="preserve">Análisis del </w:t>
      </w:r>
      <w:r w:rsidR="009D7771">
        <w:rPr>
          <w:rFonts w:ascii="Arial Narrow" w:hAnsi="Arial Narrow"/>
          <w:b/>
          <w:color w:val="auto"/>
        </w:rPr>
        <w:t>Artículo</w:t>
      </w:r>
      <w:r w:rsidRPr="00CD728B">
        <w:rPr>
          <w:rFonts w:ascii="Arial Narrow" w:hAnsi="Arial Narrow"/>
          <w:b/>
          <w:color w:val="auto"/>
        </w:rPr>
        <w:t xml:space="preserve"> 121 y sus respectivas fracciones</w:t>
      </w:r>
      <w:bookmarkEnd w:id="22"/>
    </w:p>
    <w:p w:rsidR="00EE5F08" w:rsidRPr="00CD728B" w:rsidRDefault="00EE5F08" w:rsidP="00EE5F08">
      <w:pPr>
        <w:rPr>
          <w:rFonts w:ascii="Arial Narrow" w:hAnsi="Arial Narrow"/>
        </w:rPr>
      </w:pPr>
    </w:p>
    <w:p w:rsidR="00AF69FA" w:rsidRPr="00CD728B" w:rsidRDefault="00AF69FA"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 xml:space="preserve">Los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de los órganos desconcentrados obtuvieron un ICP de 76.39%; por lo que se encuentran dentro del área de cumplimiento parcial. Las cuatro fracciones que tienen mayor área de oportunidad, ya que se colocaron en un cumplimiento parcial en</w:t>
      </w:r>
      <w:r w:rsidR="003A57A0">
        <w:rPr>
          <w:rFonts w:ascii="Arial Narrow" w:hAnsi="Arial Narrow" w:cs="Arial"/>
          <w:sz w:val="24"/>
          <w:szCs w:val="24"/>
        </w:rPr>
        <w:t xml:space="preserve">tre 63.66% y 70.74% </w:t>
      </w:r>
      <w:r w:rsidRPr="00CD728B">
        <w:rPr>
          <w:rFonts w:ascii="Arial Narrow" w:hAnsi="Arial Narrow" w:cs="Arial"/>
          <w:sz w:val="24"/>
          <w:szCs w:val="24"/>
        </w:rPr>
        <w:t xml:space="preserve">son las siguientes: </w:t>
      </w:r>
    </w:p>
    <w:p w:rsidR="00AF69FA" w:rsidRPr="00CD728B" w:rsidRDefault="00AF69FA" w:rsidP="002E7D47">
      <w:pPr>
        <w:pStyle w:val="Prrafodelista"/>
        <w:numPr>
          <w:ilvl w:val="0"/>
          <w:numId w:val="2"/>
        </w:numPr>
        <w:spacing w:line="360" w:lineRule="auto"/>
        <w:jc w:val="both"/>
        <w:rPr>
          <w:rFonts w:ascii="Arial Narrow" w:hAnsi="Arial Narrow" w:cs="Arial"/>
          <w:sz w:val="24"/>
          <w:szCs w:val="24"/>
        </w:rPr>
      </w:pPr>
      <w:r w:rsidRPr="00CD728B">
        <w:rPr>
          <w:rFonts w:ascii="Arial Narrow" w:hAnsi="Arial Narrow" w:cs="Arial"/>
          <w:sz w:val="24"/>
          <w:szCs w:val="24"/>
        </w:rPr>
        <w:t xml:space="preserve">Fracción XXVI, con un ICP de 63.66%, respecto a los informes de resultados de las auditorías al ejercicio presupuestal y sus respectivas revisiones. Los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no actualizaron la información conforme indica la normatividad vigente, en algunos casos no publicaron información de la fracción, ni fundaron ni motivaron las razones. </w:t>
      </w:r>
    </w:p>
    <w:p w:rsidR="00EE5F08" w:rsidRPr="00CD728B" w:rsidRDefault="00EE5F08" w:rsidP="00EE5F08">
      <w:pPr>
        <w:pStyle w:val="Prrafodelista"/>
        <w:spacing w:line="360" w:lineRule="auto"/>
        <w:jc w:val="both"/>
        <w:rPr>
          <w:rFonts w:ascii="Arial Narrow" w:hAnsi="Arial Narrow" w:cs="Arial"/>
          <w:sz w:val="24"/>
          <w:szCs w:val="24"/>
        </w:rPr>
      </w:pPr>
    </w:p>
    <w:p w:rsidR="00EE5F08" w:rsidRPr="00CD728B" w:rsidRDefault="00AF69FA" w:rsidP="00EE5F08">
      <w:pPr>
        <w:pStyle w:val="Prrafodelista"/>
        <w:numPr>
          <w:ilvl w:val="0"/>
          <w:numId w:val="2"/>
        </w:numPr>
        <w:spacing w:line="360" w:lineRule="auto"/>
        <w:jc w:val="both"/>
        <w:rPr>
          <w:rFonts w:ascii="Arial Narrow" w:hAnsi="Arial Narrow" w:cs="Arial"/>
          <w:sz w:val="24"/>
          <w:szCs w:val="24"/>
        </w:rPr>
      </w:pPr>
      <w:r w:rsidRPr="00CD728B">
        <w:rPr>
          <w:rFonts w:ascii="Arial Narrow" w:hAnsi="Arial Narrow" w:cs="Arial"/>
          <w:sz w:val="24"/>
          <w:szCs w:val="24"/>
          <w:lang w:val="es-ES_tradnl"/>
        </w:rPr>
        <w:t>Fracción XLIX, con un ICP de 69.71%, en la cual se establece la publicación del catálogo de disposición y guía de archivo documenta</w:t>
      </w:r>
      <w:r w:rsidR="003A57A0">
        <w:rPr>
          <w:rFonts w:ascii="Arial Narrow" w:hAnsi="Arial Narrow" w:cs="Arial"/>
          <w:sz w:val="24"/>
          <w:szCs w:val="24"/>
          <w:lang w:val="es-ES_tradnl"/>
        </w:rPr>
        <w:t>l</w:t>
      </w:r>
      <w:r w:rsidRPr="00CD728B">
        <w:rPr>
          <w:rFonts w:ascii="Arial Narrow" w:hAnsi="Arial Narrow" w:cs="Arial"/>
          <w:sz w:val="24"/>
          <w:szCs w:val="24"/>
          <w:lang w:val="es-ES_tradnl"/>
        </w:rPr>
        <w:t xml:space="preserve">. Se identificó que </w:t>
      </w:r>
      <w:r w:rsidRPr="00CD728B">
        <w:rPr>
          <w:rFonts w:ascii="Arial Narrow" w:hAnsi="Arial Narrow" w:cs="Arial"/>
          <w:sz w:val="24"/>
          <w:szCs w:val="24"/>
        </w:rPr>
        <w:t xml:space="preserve">los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no actualizaron la información conforme indica la normatividad vigente. Por otra parte, se deberá verificar los hipervínculos, ya que no se tiene acceso.</w:t>
      </w:r>
    </w:p>
    <w:p w:rsidR="00EE5F08" w:rsidRPr="00CD728B" w:rsidRDefault="00EE5F08" w:rsidP="00EE5F08">
      <w:pPr>
        <w:pStyle w:val="Prrafodelista"/>
        <w:spacing w:line="360" w:lineRule="auto"/>
        <w:jc w:val="both"/>
        <w:rPr>
          <w:rFonts w:ascii="Arial Narrow" w:hAnsi="Arial Narrow" w:cs="Arial"/>
          <w:sz w:val="24"/>
          <w:szCs w:val="24"/>
        </w:rPr>
      </w:pPr>
    </w:p>
    <w:p w:rsidR="00EE5F08" w:rsidRPr="00CD728B" w:rsidRDefault="00AF69FA" w:rsidP="00EE5F08">
      <w:pPr>
        <w:pStyle w:val="Prrafodelista"/>
        <w:numPr>
          <w:ilvl w:val="0"/>
          <w:numId w:val="2"/>
        </w:numPr>
        <w:spacing w:before="100" w:beforeAutospacing="1" w:after="100" w:afterAutospacing="1" w:line="360" w:lineRule="auto"/>
        <w:jc w:val="both"/>
        <w:rPr>
          <w:rFonts w:ascii="Arial Narrow" w:hAnsi="Arial Narrow" w:cs="Arial"/>
          <w:sz w:val="24"/>
          <w:szCs w:val="24"/>
          <w:lang w:val="es-ES_tradnl"/>
        </w:rPr>
      </w:pPr>
      <w:r w:rsidRPr="00CD728B">
        <w:rPr>
          <w:rFonts w:ascii="Arial Narrow" w:hAnsi="Arial Narrow" w:cs="Arial"/>
          <w:sz w:val="24"/>
          <w:szCs w:val="24"/>
          <w:lang w:val="es-ES_tradnl"/>
        </w:rPr>
        <w:t xml:space="preserve">Fracción XIX, con un ICP de 70.60%, consistente en los servicios que ofrecen los </w:t>
      </w:r>
      <w:r w:rsidR="003C3757" w:rsidRPr="00CD728B">
        <w:rPr>
          <w:rFonts w:ascii="Arial Narrow" w:hAnsi="Arial Narrow" w:cs="Arial"/>
          <w:sz w:val="24"/>
          <w:szCs w:val="24"/>
          <w:lang w:val="es-ES_tradnl"/>
        </w:rPr>
        <w:t>Sujetos Obligados</w:t>
      </w:r>
      <w:r w:rsidRPr="00CD728B">
        <w:rPr>
          <w:rFonts w:ascii="Arial Narrow" w:hAnsi="Arial Narrow" w:cs="Arial"/>
          <w:sz w:val="24"/>
          <w:szCs w:val="24"/>
          <w:lang w:val="es-ES_tradnl"/>
        </w:rPr>
        <w:t xml:space="preserve"> señalando los requisitos para acceder a ellos, se observó que </w:t>
      </w:r>
      <w:r w:rsidRPr="00CD728B">
        <w:rPr>
          <w:rFonts w:ascii="Arial Narrow" w:hAnsi="Arial Narrow" w:cs="Arial"/>
          <w:sz w:val="24"/>
          <w:szCs w:val="24"/>
        </w:rPr>
        <w:t>no actualizaron la información conforme indica la normatividad vigente</w:t>
      </w:r>
      <w:r w:rsidRPr="00CD728B">
        <w:rPr>
          <w:rFonts w:ascii="Arial Narrow" w:hAnsi="Arial Narrow" w:cs="Arial"/>
          <w:sz w:val="24"/>
          <w:szCs w:val="24"/>
          <w:lang w:val="es-ES_tradnl"/>
        </w:rPr>
        <w:t xml:space="preserve">, no publican servicios relacionados con las solicitudes de acceso a la información pública y referente a la protección de datos personales. </w:t>
      </w:r>
    </w:p>
    <w:p w:rsidR="00EE5F08" w:rsidRPr="00CD728B" w:rsidRDefault="00EE5F08" w:rsidP="00EE5F08">
      <w:pPr>
        <w:pStyle w:val="Prrafodelista"/>
        <w:spacing w:before="100" w:beforeAutospacing="1" w:after="100" w:afterAutospacing="1" w:line="360" w:lineRule="auto"/>
        <w:jc w:val="both"/>
        <w:rPr>
          <w:rFonts w:ascii="Arial Narrow" w:hAnsi="Arial Narrow" w:cs="Arial"/>
          <w:sz w:val="24"/>
          <w:szCs w:val="24"/>
          <w:lang w:val="es-ES_tradnl"/>
        </w:rPr>
      </w:pPr>
    </w:p>
    <w:p w:rsidR="00AF69FA" w:rsidRPr="00CD728B" w:rsidRDefault="00AF69FA" w:rsidP="002E7D47">
      <w:pPr>
        <w:pStyle w:val="Prrafodelista"/>
        <w:numPr>
          <w:ilvl w:val="0"/>
          <w:numId w:val="2"/>
        </w:numPr>
        <w:spacing w:before="100" w:beforeAutospacing="1" w:after="100" w:afterAutospacing="1" w:line="360" w:lineRule="auto"/>
        <w:jc w:val="both"/>
        <w:rPr>
          <w:rFonts w:ascii="Arial Narrow" w:hAnsi="Arial Narrow" w:cs="Arial"/>
          <w:sz w:val="24"/>
          <w:szCs w:val="24"/>
          <w:lang w:val="es-ES_tradnl"/>
        </w:rPr>
      </w:pPr>
      <w:r w:rsidRPr="00CD728B">
        <w:rPr>
          <w:rFonts w:ascii="Arial Narrow" w:hAnsi="Arial Narrow" w:cs="Arial"/>
          <w:sz w:val="24"/>
          <w:szCs w:val="24"/>
          <w:lang w:val="es-ES_tradnl"/>
        </w:rPr>
        <w:lastRenderedPageBreak/>
        <w:t xml:space="preserve">Fracción XXXVI, con un ICP de 70.74%, respecto de la publicación del inventario de bienes muebles e inmuebles en posesión y propiedad; así como el monto a que ascienden los mismos siempre que su valor sea superior a 350 veces la Unidad de Medida Vigente en la Ciudad de México, así como el catálogo o informe de altas y bajas. Los sujetos </w:t>
      </w:r>
      <w:r w:rsidRPr="00CD728B">
        <w:rPr>
          <w:rFonts w:ascii="Arial Narrow" w:hAnsi="Arial Narrow" w:cs="Arial"/>
          <w:sz w:val="24"/>
          <w:szCs w:val="24"/>
        </w:rPr>
        <w:t>no actualizaron la información conforme indica la normatividad vigente</w:t>
      </w:r>
      <w:r w:rsidR="00B015A8" w:rsidRPr="00CD728B">
        <w:rPr>
          <w:rFonts w:ascii="Arial Narrow" w:hAnsi="Arial Narrow" w:cs="Arial"/>
          <w:sz w:val="24"/>
          <w:szCs w:val="24"/>
          <w:lang w:val="es-ES_tradnl"/>
        </w:rPr>
        <w:t>; se recomienda respe</w:t>
      </w:r>
      <w:r w:rsidRPr="00CD728B">
        <w:rPr>
          <w:rFonts w:ascii="Arial Narrow" w:hAnsi="Arial Narrow" w:cs="Arial"/>
          <w:sz w:val="24"/>
          <w:szCs w:val="24"/>
          <w:lang w:val="es-ES_tradnl"/>
        </w:rPr>
        <w:t>tar la periodicidad en que se debe de reportar la información.</w:t>
      </w:r>
    </w:p>
    <w:p w:rsidR="00AF69FA" w:rsidRPr="00CD728B" w:rsidRDefault="00AF69FA"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 xml:space="preserve">De igual </w:t>
      </w:r>
      <w:r w:rsidR="00827F0F" w:rsidRPr="00CD728B">
        <w:rPr>
          <w:rFonts w:ascii="Arial Narrow" w:hAnsi="Arial Narrow" w:cs="Arial"/>
          <w:sz w:val="24"/>
          <w:szCs w:val="24"/>
        </w:rPr>
        <w:t xml:space="preserve">forma, las tres fracciones con </w:t>
      </w:r>
      <w:r w:rsidRPr="00CD728B">
        <w:rPr>
          <w:rFonts w:ascii="Arial Narrow" w:hAnsi="Arial Narrow" w:cs="Arial"/>
          <w:sz w:val="24"/>
          <w:szCs w:val="24"/>
        </w:rPr>
        <w:t>un ICP ubicadas en el rango de 91.58% a 92.75% son las que se detallan a continuación:</w:t>
      </w:r>
    </w:p>
    <w:p w:rsidR="00AF69FA" w:rsidRPr="00CD728B" w:rsidRDefault="00AF69FA" w:rsidP="002E7D47">
      <w:pPr>
        <w:pStyle w:val="Prrafodelista"/>
        <w:numPr>
          <w:ilvl w:val="0"/>
          <w:numId w:val="2"/>
        </w:numPr>
        <w:spacing w:before="100" w:beforeAutospacing="1" w:after="100" w:afterAutospacing="1" w:line="360" w:lineRule="auto"/>
        <w:jc w:val="both"/>
        <w:rPr>
          <w:rFonts w:ascii="Arial Narrow" w:hAnsi="Arial Narrow" w:cs="Arial"/>
          <w:sz w:val="24"/>
          <w:szCs w:val="24"/>
          <w:lang w:val="es-ES_tradnl"/>
        </w:rPr>
      </w:pPr>
      <w:r w:rsidRPr="00CD728B">
        <w:rPr>
          <w:rFonts w:ascii="Arial Narrow" w:hAnsi="Arial Narrow" w:cs="Arial"/>
          <w:sz w:val="24"/>
          <w:szCs w:val="24"/>
          <w:lang w:val="es-ES_tradnl"/>
        </w:rPr>
        <w:t xml:space="preserve">Fracción XXVIII, se obtuvo un ICP de 91.58%, consistente en los montos, criterios, convocatorias y listados de personas físicas o morales a quienes por cualquier motivo se les asigne o permita usar recursos públicos o, en los términos de las disposiciones aplicables realicen actos de autoridad. Se identificó que algunos sujetos </w:t>
      </w:r>
      <w:r w:rsidRPr="00CD728B">
        <w:rPr>
          <w:rFonts w:ascii="Arial Narrow" w:hAnsi="Arial Narrow" w:cs="Arial"/>
          <w:sz w:val="24"/>
          <w:szCs w:val="24"/>
        </w:rPr>
        <w:t>no actualizaron la información conforme indica la normatividad vigente.</w:t>
      </w:r>
    </w:p>
    <w:p w:rsidR="00EE5F08" w:rsidRPr="00CD728B" w:rsidRDefault="00EE5F08" w:rsidP="00EE5F08">
      <w:pPr>
        <w:pStyle w:val="Prrafodelista"/>
        <w:spacing w:before="100" w:beforeAutospacing="1" w:after="100" w:afterAutospacing="1" w:line="360" w:lineRule="auto"/>
        <w:jc w:val="both"/>
        <w:rPr>
          <w:rFonts w:ascii="Arial Narrow" w:hAnsi="Arial Narrow" w:cs="Arial"/>
          <w:sz w:val="24"/>
          <w:szCs w:val="24"/>
          <w:lang w:val="es-ES_tradnl"/>
        </w:rPr>
      </w:pPr>
    </w:p>
    <w:p w:rsidR="00EE5F08" w:rsidRPr="00CD728B" w:rsidRDefault="00AF69FA" w:rsidP="00EE5F08">
      <w:pPr>
        <w:pStyle w:val="Prrafodelista"/>
        <w:numPr>
          <w:ilvl w:val="0"/>
          <w:numId w:val="3"/>
        </w:numPr>
        <w:spacing w:before="100" w:beforeAutospacing="1" w:after="100" w:afterAutospacing="1" w:line="360" w:lineRule="auto"/>
        <w:jc w:val="both"/>
        <w:rPr>
          <w:rFonts w:ascii="Arial Narrow" w:hAnsi="Arial Narrow" w:cs="Arial"/>
          <w:sz w:val="24"/>
          <w:szCs w:val="24"/>
          <w:lang w:val="es-ES_tradnl"/>
        </w:rPr>
      </w:pPr>
      <w:r w:rsidRPr="00CD728B">
        <w:rPr>
          <w:rFonts w:ascii="Arial Narrow" w:hAnsi="Arial Narrow" w:cs="Arial"/>
          <w:sz w:val="24"/>
          <w:szCs w:val="24"/>
          <w:lang w:val="es-ES_tradnl"/>
        </w:rPr>
        <w:t xml:space="preserve">Fracción LIV, se obtuvo un ICP de 92.69%, consistente en la información de las personas beneficiadas, la temporalidad, los montos, y todo aquello relacionado con incentivos, condonaciones o reducciones fiscales, concesiones, permisos o licencias por virtud de las cuales se usen, gocen, disfruten o exploten bienes públicos. En este caso se identificó que algunos de los sujetos </w:t>
      </w:r>
      <w:r w:rsidRPr="00CD728B">
        <w:rPr>
          <w:rFonts w:ascii="Arial Narrow" w:hAnsi="Arial Narrow" w:cs="Arial"/>
          <w:sz w:val="24"/>
          <w:szCs w:val="24"/>
        </w:rPr>
        <w:t>no actualizaron la información conforme indica la normatividad vigente y tampoco la conservan en el sitio de internet.</w:t>
      </w:r>
    </w:p>
    <w:p w:rsidR="00EE5F08" w:rsidRPr="00CD728B" w:rsidRDefault="00EE5F08" w:rsidP="00EE5F08">
      <w:pPr>
        <w:pStyle w:val="Prrafodelista"/>
        <w:spacing w:before="100" w:beforeAutospacing="1" w:after="100" w:afterAutospacing="1" w:line="360" w:lineRule="auto"/>
        <w:jc w:val="both"/>
        <w:rPr>
          <w:rFonts w:ascii="Arial Narrow" w:hAnsi="Arial Narrow" w:cs="Arial"/>
          <w:sz w:val="24"/>
          <w:szCs w:val="24"/>
          <w:lang w:val="es-ES_tradnl"/>
        </w:rPr>
      </w:pPr>
    </w:p>
    <w:p w:rsidR="00AF69FA" w:rsidRPr="00CD728B" w:rsidRDefault="00AF69FA" w:rsidP="002E7D47">
      <w:pPr>
        <w:pStyle w:val="Prrafodelista"/>
        <w:numPr>
          <w:ilvl w:val="0"/>
          <w:numId w:val="2"/>
        </w:numPr>
        <w:spacing w:line="360" w:lineRule="auto"/>
        <w:jc w:val="both"/>
        <w:rPr>
          <w:rFonts w:ascii="Arial Narrow" w:hAnsi="Arial Narrow" w:cs="Arial"/>
          <w:sz w:val="24"/>
          <w:szCs w:val="24"/>
        </w:rPr>
      </w:pPr>
      <w:r w:rsidRPr="00CD728B">
        <w:rPr>
          <w:rFonts w:ascii="Arial Narrow" w:hAnsi="Arial Narrow" w:cs="Arial"/>
          <w:sz w:val="24"/>
          <w:szCs w:val="24"/>
          <w:lang w:val="es-ES_tradnl"/>
        </w:rPr>
        <w:t xml:space="preserve">Fracción XXXIX, se obtuvo un ICP de 92.75%, respecto de las resoluciones y laudos que se emitieron en procesos o procedimientos seguidos en forma de juicio, sin embargo, se observó que en algunos casos </w:t>
      </w:r>
      <w:r w:rsidRPr="00CD728B">
        <w:rPr>
          <w:rFonts w:ascii="Arial Narrow" w:hAnsi="Arial Narrow" w:cs="Arial"/>
          <w:sz w:val="24"/>
          <w:szCs w:val="24"/>
        </w:rPr>
        <w:t xml:space="preserve">los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no actualizaron la información conforme indica </w:t>
      </w:r>
      <w:r w:rsidRPr="00CD728B">
        <w:rPr>
          <w:rFonts w:ascii="Arial Narrow" w:hAnsi="Arial Narrow" w:cs="Arial"/>
          <w:sz w:val="24"/>
          <w:szCs w:val="24"/>
        </w:rPr>
        <w:lastRenderedPageBreak/>
        <w:t>la normatividad vigente, no publican información de la fracción,</w:t>
      </w:r>
      <w:r w:rsidR="00827F0F" w:rsidRPr="00CD728B">
        <w:rPr>
          <w:rFonts w:ascii="Arial Narrow" w:hAnsi="Arial Narrow" w:cs="Arial"/>
          <w:sz w:val="24"/>
          <w:szCs w:val="24"/>
        </w:rPr>
        <w:t xml:space="preserve"> no</w:t>
      </w:r>
      <w:r w:rsidRPr="00CD728B">
        <w:rPr>
          <w:rFonts w:ascii="Arial Narrow" w:hAnsi="Arial Narrow" w:cs="Arial"/>
          <w:sz w:val="24"/>
          <w:szCs w:val="24"/>
        </w:rPr>
        <w:t xml:space="preserve"> fundan ni motivan las razones por las cuales no la reportan. </w:t>
      </w:r>
    </w:p>
    <w:p w:rsidR="00EE5F08" w:rsidRPr="00CD728B" w:rsidRDefault="00EE5F08" w:rsidP="00EE5F08">
      <w:pPr>
        <w:pStyle w:val="Prrafodelista"/>
        <w:spacing w:line="360" w:lineRule="auto"/>
        <w:jc w:val="both"/>
        <w:rPr>
          <w:rFonts w:ascii="Arial Narrow" w:hAnsi="Arial Narrow" w:cs="Arial"/>
          <w:sz w:val="24"/>
          <w:szCs w:val="24"/>
        </w:rPr>
      </w:pPr>
    </w:p>
    <w:p w:rsidR="00EE5F08" w:rsidRPr="00CD728B" w:rsidRDefault="00AF69FA" w:rsidP="00EE5F08">
      <w:pPr>
        <w:pStyle w:val="Ttulo3"/>
        <w:numPr>
          <w:ilvl w:val="2"/>
          <w:numId w:val="16"/>
        </w:numPr>
        <w:contextualSpacing/>
        <w:rPr>
          <w:rFonts w:ascii="Arial Narrow" w:hAnsi="Arial Narrow"/>
          <w:b/>
          <w:color w:val="auto"/>
        </w:rPr>
      </w:pPr>
      <w:bookmarkStart w:id="23" w:name="_Toc14293724"/>
      <w:r w:rsidRPr="00CD728B">
        <w:rPr>
          <w:rFonts w:ascii="Arial Narrow" w:hAnsi="Arial Narrow"/>
          <w:b/>
          <w:color w:val="auto"/>
        </w:rPr>
        <w:t xml:space="preserve">Análisis del </w:t>
      </w:r>
      <w:r w:rsidR="009D7771">
        <w:rPr>
          <w:rFonts w:ascii="Arial Narrow" w:hAnsi="Arial Narrow"/>
          <w:b/>
          <w:color w:val="auto"/>
        </w:rPr>
        <w:t>Artículo</w:t>
      </w:r>
      <w:r w:rsidRPr="00CD728B">
        <w:rPr>
          <w:rFonts w:ascii="Arial Narrow" w:hAnsi="Arial Narrow"/>
          <w:b/>
          <w:color w:val="auto"/>
        </w:rPr>
        <w:t xml:space="preserve"> 123 y sus respectivas fracciones</w:t>
      </w:r>
      <w:bookmarkEnd w:id="23"/>
    </w:p>
    <w:p w:rsidR="00EE5F08" w:rsidRPr="00CD728B" w:rsidRDefault="00EE5F08" w:rsidP="00EE5F08">
      <w:pPr>
        <w:rPr>
          <w:rFonts w:ascii="Arial Narrow" w:hAnsi="Arial Narrow"/>
        </w:rPr>
      </w:pPr>
    </w:p>
    <w:p w:rsidR="00AF69FA" w:rsidRPr="00CD728B" w:rsidRDefault="00AF69FA"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 xml:space="preserve">Los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de los órganos desconcentrados obtuvieron ICP de 72.60%; por lo que se encuentra dentro del área de cumplimiento parcial. Las tres fracciones que tienen mayor área de oportunidad, ya que se colocaron en un incumplimiento</w:t>
      </w:r>
      <w:r w:rsidR="004B6BFD">
        <w:rPr>
          <w:rFonts w:ascii="Arial Narrow" w:hAnsi="Arial Narrow" w:cs="Arial"/>
          <w:sz w:val="24"/>
          <w:szCs w:val="24"/>
        </w:rPr>
        <w:t xml:space="preserve"> parcial entre 61.82% y 67.18% </w:t>
      </w:r>
      <w:r w:rsidRPr="00CD728B">
        <w:rPr>
          <w:rFonts w:ascii="Arial Narrow" w:hAnsi="Arial Narrow" w:cs="Arial"/>
          <w:sz w:val="24"/>
          <w:szCs w:val="24"/>
        </w:rPr>
        <w:t xml:space="preserve">son las siguientes: </w:t>
      </w:r>
    </w:p>
    <w:p w:rsidR="00AF69FA" w:rsidRPr="00CD728B" w:rsidRDefault="00AF69FA" w:rsidP="002E7D47">
      <w:pPr>
        <w:pStyle w:val="Prrafodelista"/>
        <w:numPr>
          <w:ilvl w:val="0"/>
          <w:numId w:val="2"/>
        </w:numPr>
        <w:spacing w:before="100" w:beforeAutospacing="1" w:after="100" w:afterAutospacing="1" w:line="360" w:lineRule="auto"/>
        <w:jc w:val="both"/>
        <w:rPr>
          <w:rFonts w:ascii="Arial Narrow" w:hAnsi="Arial Narrow" w:cs="Arial"/>
          <w:sz w:val="24"/>
          <w:szCs w:val="24"/>
        </w:rPr>
      </w:pPr>
      <w:r w:rsidRPr="00CD728B">
        <w:rPr>
          <w:rFonts w:ascii="Arial Narrow" w:hAnsi="Arial Narrow" w:cs="Arial"/>
          <w:sz w:val="24"/>
          <w:szCs w:val="24"/>
        </w:rPr>
        <w:t xml:space="preserve">Fracción XIII, con un ICP de 61.82% en la cual se establece la publicación de los convenios de coordinación con la Federación, entidades federativas y municipios, y de concertación con los sectores sociales y privados, señalando el objeto, las partes y el tiempo de duración. En este caso, algunos de los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no actualizaron la información conforme</w:t>
      </w:r>
      <w:r w:rsidR="003A57A0">
        <w:rPr>
          <w:rFonts w:ascii="Arial Narrow" w:hAnsi="Arial Narrow" w:cs="Arial"/>
          <w:sz w:val="24"/>
          <w:szCs w:val="24"/>
        </w:rPr>
        <w:t xml:space="preserve"> indica la normatividad vigente, y</w:t>
      </w:r>
      <w:r w:rsidR="00827F0F" w:rsidRPr="00CD728B">
        <w:rPr>
          <w:rFonts w:ascii="Arial Narrow" w:hAnsi="Arial Narrow" w:cs="Arial"/>
          <w:sz w:val="24"/>
          <w:szCs w:val="24"/>
        </w:rPr>
        <w:t xml:space="preserve"> no</w:t>
      </w:r>
      <w:r w:rsidRPr="00CD728B">
        <w:rPr>
          <w:rFonts w:ascii="Arial Narrow" w:hAnsi="Arial Narrow" w:cs="Arial"/>
          <w:sz w:val="24"/>
          <w:szCs w:val="24"/>
        </w:rPr>
        <w:t xml:space="preserve"> fundan ni motivan las razones por las cuales no la reportan. </w:t>
      </w:r>
    </w:p>
    <w:p w:rsidR="00EE5F08" w:rsidRPr="00CD728B" w:rsidRDefault="00EE5F08" w:rsidP="00EE5F08">
      <w:pPr>
        <w:pStyle w:val="Prrafodelista"/>
        <w:spacing w:before="100" w:beforeAutospacing="1" w:after="100" w:afterAutospacing="1" w:line="360" w:lineRule="auto"/>
        <w:jc w:val="both"/>
        <w:rPr>
          <w:rFonts w:ascii="Arial Narrow" w:hAnsi="Arial Narrow" w:cs="Arial"/>
          <w:sz w:val="24"/>
          <w:szCs w:val="24"/>
        </w:rPr>
      </w:pPr>
    </w:p>
    <w:p w:rsidR="00AF69FA" w:rsidRPr="00CD728B" w:rsidRDefault="00AF69FA" w:rsidP="002E7D47">
      <w:pPr>
        <w:pStyle w:val="Prrafodelista"/>
        <w:numPr>
          <w:ilvl w:val="0"/>
          <w:numId w:val="7"/>
        </w:numPr>
        <w:spacing w:before="100" w:beforeAutospacing="1" w:after="100" w:afterAutospacing="1" w:line="360" w:lineRule="auto"/>
        <w:jc w:val="both"/>
        <w:rPr>
          <w:rFonts w:ascii="Arial Narrow" w:hAnsi="Arial Narrow" w:cs="Arial"/>
          <w:sz w:val="24"/>
          <w:szCs w:val="24"/>
        </w:rPr>
      </w:pPr>
      <w:r w:rsidRPr="00CD728B">
        <w:rPr>
          <w:rFonts w:ascii="Arial Narrow" w:hAnsi="Arial Narrow" w:cs="Arial"/>
          <w:sz w:val="24"/>
          <w:szCs w:val="24"/>
        </w:rPr>
        <w:t xml:space="preserve">Fracción XIV, con un ICP de 62.22%, respecto de la información que sea de utilidad o resulte relevante para el conocimiento o evaluación de las funciones y políticas públicas. En este caso, se identificó que algunos de los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no actualizaron la información conforme indica la normatividad vigente y en otros casos no reportan, o no son claros con la descripción de los criterios contenidos en la fracción.</w:t>
      </w:r>
    </w:p>
    <w:p w:rsidR="00EE5F08" w:rsidRPr="00CD728B" w:rsidRDefault="00EE5F08" w:rsidP="00EE5F08">
      <w:pPr>
        <w:pStyle w:val="Prrafodelista"/>
        <w:spacing w:before="100" w:beforeAutospacing="1" w:after="100" w:afterAutospacing="1" w:line="360" w:lineRule="auto"/>
        <w:jc w:val="both"/>
        <w:rPr>
          <w:rFonts w:ascii="Arial Narrow" w:hAnsi="Arial Narrow" w:cs="Arial"/>
          <w:sz w:val="24"/>
          <w:szCs w:val="24"/>
        </w:rPr>
      </w:pPr>
    </w:p>
    <w:p w:rsidR="00EE5F08" w:rsidRPr="00CD728B" w:rsidRDefault="00AF69FA" w:rsidP="00EE5F08">
      <w:pPr>
        <w:pStyle w:val="Prrafodelista"/>
        <w:numPr>
          <w:ilvl w:val="0"/>
          <w:numId w:val="7"/>
        </w:numPr>
        <w:spacing w:before="100" w:beforeAutospacing="1" w:after="100" w:afterAutospacing="1" w:line="360" w:lineRule="auto"/>
        <w:jc w:val="both"/>
        <w:rPr>
          <w:rFonts w:ascii="Arial Narrow" w:hAnsi="Arial Narrow" w:cs="Arial"/>
          <w:sz w:val="24"/>
          <w:szCs w:val="24"/>
        </w:rPr>
      </w:pPr>
      <w:r w:rsidRPr="00CD728B">
        <w:rPr>
          <w:rFonts w:ascii="Arial Narrow" w:hAnsi="Arial Narrow" w:cs="Arial"/>
          <w:sz w:val="24"/>
          <w:szCs w:val="24"/>
        </w:rPr>
        <w:t>Fracción IV, con un ICP de 67.18%, sobre el listado de expropiaciones decre</w:t>
      </w:r>
      <w:r w:rsidR="00827F0F" w:rsidRPr="00CD728B">
        <w:rPr>
          <w:rFonts w:ascii="Arial Narrow" w:hAnsi="Arial Narrow" w:cs="Arial"/>
          <w:sz w:val="24"/>
          <w:szCs w:val="24"/>
        </w:rPr>
        <w:t xml:space="preserve">tadas y ejecutadas que incluya </w:t>
      </w:r>
      <w:r w:rsidRPr="00CD728B">
        <w:rPr>
          <w:rFonts w:ascii="Arial Narrow" w:hAnsi="Arial Narrow" w:cs="Arial"/>
          <w:sz w:val="24"/>
          <w:szCs w:val="24"/>
        </w:rPr>
        <w:t xml:space="preserve">cuando menos la fecha de expropiación, el domicilio, la causa de utilidad pública y las ocupaciones superficiales. En este caso, si bien es una fracción que no les aplica a algunos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deberán de actualizarla conforme a la normatividad </w:t>
      </w:r>
      <w:r w:rsidRPr="00CD728B">
        <w:rPr>
          <w:rFonts w:ascii="Arial Narrow" w:hAnsi="Arial Narrow" w:cs="Arial"/>
          <w:sz w:val="24"/>
          <w:szCs w:val="24"/>
        </w:rPr>
        <w:lastRenderedPageBreak/>
        <w:t xml:space="preserve">vigente publicando la leyenda e hipervínculo ligado al </w:t>
      </w:r>
      <w:r w:rsidR="005A4A11" w:rsidRPr="00CD728B">
        <w:rPr>
          <w:rFonts w:ascii="Arial Narrow" w:hAnsi="Arial Narrow" w:cs="Arial"/>
          <w:sz w:val="24"/>
          <w:szCs w:val="24"/>
        </w:rPr>
        <w:t>Sujeto Obligado</w:t>
      </w:r>
      <w:r w:rsidRPr="00CD728B">
        <w:rPr>
          <w:rFonts w:ascii="Arial Narrow" w:hAnsi="Arial Narrow" w:cs="Arial"/>
          <w:sz w:val="24"/>
          <w:szCs w:val="24"/>
        </w:rPr>
        <w:t xml:space="preserve"> que tenga la información.</w:t>
      </w:r>
    </w:p>
    <w:p w:rsidR="00EE5F08" w:rsidRPr="00CD728B" w:rsidRDefault="00EE5F08" w:rsidP="00EE5F08">
      <w:pPr>
        <w:pStyle w:val="Prrafodelista"/>
        <w:spacing w:before="100" w:beforeAutospacing="1" w:after="100" w:afterAutospacing="1" w:line="360" w:lineRule="auto"/>
        <w:jc w:val="both"/>
        <w:rPr>
          <w:rFonts w:ascii="Arial Narrow" w:hAnsi="Arial Narrow" w:cs="Arial"/>
          <w:sz w:val="24"/>
          <w:szCs w:val="24"/>
        </w:rPr>
      </w:pPr>
    </w:p>
    <w:p w:rsidR="00EE5F08" w:rsidRPr="00CD728B" w:rsidRDefault="00AF69FA" w:rsidP="00EE5F08">
      <w:pPr>
        <w:pStyle w:val="Prrafodelista"/>
        <w:numPr>
          <w:ilvl w:val="0"/>
          <w:numId w:val="7"/>
        </w:numPr>
        <w:spacing w:before="100" w:beforeAutospacing="1" w:after="100" w:afterAutospacing="1" w:line="360" w:lineRule="auto"/>
        <w:jc w:val="both"/>
        <w:rPr>
          <w:rFonts w:ascii="Arial Narrow" w:hAnsi="Arial Narrow" w:cs="Arial"/>
          <w:sz w:val="24"/>
          <w:szCs w:val="24"/>
        </w:rPr>
      </w:pPr>
      <w:r w:rsidRPr="00CD728B">
        <w:rPr>
          <w:rFonts w:ascii="Arial Narrow" w:hAnsi="Arial Narrow" w:cs="Arial"/>
          <w:sz w:val="24"/>
          <w:szCs w:val="24"/>
        </w:rPr>
        <w:t>De i</w:t>
      </w:r>
      <w:r w:rsidR="003A57A0">
        <w:rPr>
          <w:rFonts w:ascii="Arial Narrow" w:hAnsi="Arial Narrow" w:cs="Arial"/>
          <w:sz w:val="24"/>
          <w:szCs w:val="24"/>
        </w:rPr>
        <w:t xml:space="preserve">gual forma, la fracción con el </w:t>
      </w:r>
      <w:r w:rsidRPr="00CD728B">
        <w:rPr>
          <w:rFonts w:ascii="Arial Narrow" w:hAnsi="Arial Narrow" w:cs="Arial"/>
          <w:sz w:val="24"/>
          <w:szCs w:val="24"/>
        </w:rPr>
        <w:t xml:space="preserve">ICP más alto (93.03%) fue la I, relativa a las iniciativas de leyes o decretos, demás disposiciones generales o particulares en materia administrativa. Sin embargo, algunos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deberán actualizarla conforme a la normatividad vigente.</w:t>
      </w:r>
    </w:p>
    <w:p w:rsidR="00EE5F08" w:rsidRPr="00CD728B" w:rsidRDefault="00EE5F08" w:rsidP="00EE5F08">
      <w:pPr>
        <w:pStyle w:val="Prrafodelista"/>
        <w:spacing w:before="100" w:beforeAutospacing="1" w:after="100" w:afterAutospacing="1" w:line="360" w:lineRule="auto"/>
        <w:jc w:val="both"/>
        <w:rPr>
          <w:rFonts w:ascii="Arial Narrow" w:hAnsi="Arial Narrow" w:cs="Arial"/>
          <w:sz w:val="24"/>
          <w:szCs w:val="24"/>
        </w:rPr>
      </w:pPr>
    </w:p>
    <w:p w:rsidR="00EE5F08" w:rsidRPr="00CD728B" w:rsidRDefault="00AF69FA" w:rsidP="00EE5F08">
      <w:pPr>
        <w:pStyle w:val="Ttulo3"/>
        <w:numPr>
          <w:ilvl w:val="2"/>
          <w:numId w:val="16"/>
        </w:numPr>
        <w:contextualSpacing/>
        <w:rPr>
          <w:rFonts w:ascii="Arial Narrow" w:hAnsi="Arial Narrow"/>
          <w:b/>
          <w:color w:val="auto"/>
        </w:rPr>
      </w:pPr>
      <w:bookmarkStart w:id="24" w:name="_Toc14293725"/>
      <w:r w:rsidRPr="00CD728B">
        <w:rPr>
          <w:rFonts w:ascii="Arial Narrow" w:hAnsi="Arial Narrow"/>
          <w:b/>
          <w:color w:val="auto"/>
        </w:rPr>
        <w:t xml:space="preserve">Análisis del </w:t>
      </w:r>
      <w:r w:rsidR="009D7771">
        <w:rPr>
          <w:rFonts w:ascii="Arial Narrow" w:hAnsi="Arial Narrow"/>
          <w:b/>
          <w:color w:val="auto"/>
        </w:rPr>
        <w:t>Artículo</w:t>
      </w:r>
      <w:r w:rsidRPr="00CD728B">
        <w:rPr>
          <w:rFonts w:ascii="Arial Narrow" w:hAnsi="Arial Narrow"/>
          <w:b/>
          <w:color w:val="auto"/>
        </w:rPr>
        <w:t xml:space="preserve"> 143</w:t>
      </w:r>
      <w:bookmarkEnd w:id="24"/>
      <w:r w:rsidR="00674513" w:rsidRPr="00CD728B">
        <w:rPr>
          <w:rFonts w:ascii="Arial Narrow" w:hAnsi="Arial Narrow"/>
          <w:b/>
          <w:color w:val="auto"/>
        </w:rPr>
        <w:tab/>
      </w:r>
    </w:p>
    <w:p w:rsidR="00EE5F08" w:rsidRPr="00CD728B" w:rsidRDefault="00EE5F08" w:rsidP="00EE5F08">
      <w:pPr>
        <w:rPr>
          <w:rFonts w:ascii="Arial Narrow" w:hAnsi="Arial Narrow"/>
        </w:rPr>
      </w:pPr>
    </w:p>
    <w:p w:rsidR="00EE5F08" w:rsidRPr="00CD728B" w:rsidRDefault="00AF69FA" w:rsidP="002E7D47">
      <w:pPr>
        <w:spacing w:line="360" w:lineRule="auto"/>
        <w:contextualSpacing/>
        <w:jc w:val="both"/>
        <w:rPr>
          <w:rFonts w:ascii="Arial Narrow" w:hAnsi="Arial Narrow" w:cs="Arial"/>
          <w:sz w:val="24"/>
          <w:szCs w:val="24"/>
        </w:rPr>
      </w:pPr>
      <w:r w:rsidRPr="00CD728B">
        <w:rPr>
          <w:rFonts w:ascii="Arial Narrow" w:hAnsi="Arial Narrow" w:cs="Arial"/>
          <w:sz w:val="24"/>
          <w:szCs w:val="24"/>
        </w:rPr>
        <w:t>Los órganos desconcentrados obtuvieron un ICP de 85.96%; por lo que se encuentra dentro del área de cumplimiento parcial. 34</w:t>
      </w:r>
      <w:r w:rsidRPr="00CD728B">
        <w:rPr>
          <w:rStyle w:val="Refdenotaalpie"/>
          <w:rFonts w:ascii="Arial Narrow" w:hAnsi="Arial Narrow" w:cs="Arial"/>
          <w:sz w:val="24"/>
          <w:szCs w:val="24"/>
        </w:rPr>
        <w:footnoteReference w:id="23"/>
      </w:r>
      <w:r w:rsidRPr="00CD728B">
        <w:rPr>
          <w:rFonts w:ascii="Arial Narrow" w:hAnsi="Arial Narrow" w:cs="Arial"/>
          <w:sz w:val="24"/>
          <w:szCs w:val="24"/>
        </w:rPr>
        <w:t xml:space="preserve">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obtuvieron un cumplimiento total, cinco</w:t>
      </w:r>
      <w:r w:rsidRPr="00CD728B">
        <w:rPr>
          <w:rStyle w:val="Refdenotaalpie"/>
          <w:rFonts w:ascii="Arial Narrow" w:hAnsi="Arial Narrow" w:cs="Arial"/>
          <w:sz w:val="24"/>
          <w:szCs w:val="24"/>
        </w:rPr>
        <w:footnoteReference w:id="24"/>
      </w:r>
      <w:r w:rsidRPr="00CD728B">
        <w:rPr>
          <w:rFonts w:ascii="Arial Narrow" w:hAnsi="Arial Narrow" w:cs="Arial"/>
          <w:sz w:val="24"/>
          <w:szCs w:val="24"/>
        </w:rPr>
        <w:t xml:space="preserve"> un cumplimiento parcial entre 70% y 99.38%, ocho</w:t>
      </w:r>
      <w:r w:rsidRPr="00CD728B">
        <w:rPr>
          <w:rStyle w:val="Refdenotaalpie"/>
          <w:rFonts w:ascii="Arial Narrow" w:hAnsi="Arial Narrow" w:cs="Arial"/>
          <w:sz w:val="24"/>
          <w:szCs w:val="24"/>
        </w:rPr>
        <w:footnoteReference w:id="25"/>
      </w:r>
      <w:r w:rsidRPr="00CD728B">
        <w:rPr>
          <w:rFonts w:ascii="Arial Narrow" w:hAnsi="Arial Narrow" w:cs="Arial"/>
          <w:sz w:val="24"/>
          <w:szCs w:val="24"/>
        </w:rPr>
        <w:t xml:space="preserve"> tuvieron un incumplimiento parcial entre 25% y 53.33%, y dos</w:t>
      </w:r>
      <w:r w:rsidRPr="00CD728B">
        <w:rPr>
          <w:rStyle w:val="Refdenotaalpie"/>
          <w:rFonts w:ascii="Arial Narrow" w:hAnsi="Arial Narrow" w:cs="Arial"/>
          <w:sz w:val="24"/>
          <w:szCs w:val="24"/>
        </w:rPr>
        <w:footnoteReference w:id="26"/>
      </w:r>
      <w:r w:rsidRPr="00CD728B">
        <w:rPr>
          <w:rFonts w:ascii="Arial Narrow" w:hAnsi="Arial Narrow" w:cs="Arial"/>
          <w:sz w:val="24"/>
          <w:szCs w:val="24"/>
        </w:rPr>
        <w:t xml:space="preserve"> un incumplimiento total.</w:t>
      </w:r>
      <w:r w:rsidRPr="00CD728B">
        <w:rPr>
          <w:rFonts w:ascii="Arial Narrow" w:hAnsi="Arial Narrow" w:cs="Arial"/>
          <w:bCs/>
          <w:sz w:val="24"/>
          <w:szCs w:val="24"/>
        </w:rPr>
        <w:t xml:space="preserve"> </w:t>
      </w:r>
      <w:r w:rsidRPr="00CD728B">
        <w:rPr>
          <w:rFonts w:ascii="Arial Narrow" w:hAnsi="Arial Narrow" w:cs="Arial"/>
          <w:sz w:val="24"/>
          <w:szCs w:val="24"/>
        </w:rPr>
        <w:t xml:space="preserve">En atención a lo anterior, las áreas de oportunidad consisten </w:t>
      </w:r>
      <w:r w:rsidRPr="00CD728B">
        <w:rPr>
          <w:rFonts w:ascii="Arial Narrow" w:hAnsi="Arial Narrow" w:cs="Arial"/>
          <w:sz w:val="24"/>
          <w:szCs w:val="24"/>
        </w:rPr>
        <w:lastRenderedPageBreak/>
        <w:t xml:space="preserve">en actualizar la información conforme indica la normatividad vigente, y en los casos donde no se genere información, fundar y motivar las razones. </w:t>
      </w:r>
    </w:p>
    <w:p w:rsidR="00EE5F08" w:rsidRPr="00CD728B" w:rsidRDefault="00EE5F08" w:rsidP="002E7D47">
      <w:pPr>
        <w:spacing w:line="360" w:lineRule="auto"/>
        <w:contextualSpacing/>
        <w:jc w:val="both"/>
        <w:rPr>
          <w:rFonts w:ascii="Arial Narrow" w:hAnsi="Arial Narrow" w:cs="Arial"/>
          <w:sz w:val="24"/>
          <w:szCs w:val="24"/>
        </w:rPr>
      </w:pPr>
    </w:p>
    <w:p w:rsidR="00AF69FA" w:rsidRPr="00CD728B" w:rsidRDefault="00AF69FA" w:rsidP="002E7D47">
      <w:pPr>
        <w:pStyle w:val="Ttulo3"/>
        <w:numPr>
          <w:ilvl w:val="2"/>
          <w:numId w:val="16"/>
        </w:numPr>
        <w:contextualSpacing/>
        <w:rPr>
          <w:rFonts w:ascii="Arial Narrow" w:hAnsi="Arial Narrow"/>
          <w:b/>
          <w:color w:val="auto"/>
        </w:rPr>
      </w:pPr>
      <w:bookmarkStart w:id="25" w:name="_Toc14293726"/>
      <w:r w:rsidRPr="00CD728B">
        <w:rPr>
          <w:rFonts w:ascii="Arial Narrow" w:hAnsi="Arial Narrow"/>
          <w:b/>
          <w:color w:val="auto"/>
        </w:rPr>
        <w:t xml:space="preserve">Análisis del </w:t>
      </w:r>
      <w:r w:rsidR="009D7771">
        <w:rPr>
          <w:rFonts w:ascii="Arial Narrow" w:hAnsi="Arial Narrow"/>
          <w:b/>
          <w:color w:val="auto"/>
        </w:rPr>
        <w:t>Artículo</w:t>
      </w:r>
      <w:r w:rsidRPr="00CD728B">
        <w:rPr>
          <w:rFonts w:ascii="Arial Narrow" w:hAnsi="Arial Narrow"/>
          <w:b/>
          <w:color w:val="auto"/>
        </w:rPr>
        <w:t xml:space="preserve"> 145</w:t>
      </w:r>
      <w:bookmarkEnd w:id="25"/>
    </w:p>
    <w:p w:rsidR="00EE5F08" w:rsidRPr="00CD728B" w:rsidRDefault="00EE5F08" w:rsidP="00EE5F08">
      <w:pPr>
        <w:rPr>
          <w:rFonts w:ascii="Arial Narrow" w:hAnsi="Arial Narrow"/>
        </w:rPr>
      </w:pPr>
    </w:p>
    <w:p w:rsidR="00EE5F08" w:rsidRPr="00CD728B" w:rsidRDefault="00AF69FA"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 xml:space="preserve">En lo que respecta a este </w:t>
      </w:r>
      <w:r w:rsidR="009D7771">
        <w:rPr>
          <w:rFonts w:ascii="Arial Narrow" w:hAnsi="Arial Narrow" w:cs="Arial"/>
          <w:sz w:val="24"/>
          <w:szCs w:val="24"/>
        </w:rPr>
        <w:t>Artículo</w:t>
      </w:r>
      <w:r w:rsidRPr="00CD728B">
        <w:rPr>
          <w:rFonts w:ascii="Arial Narrow" w:hAnsi="Arial Narrow" w:cs="Arial"/>
          <w:sz w:val="24"/>
          <w:szCs w:val="24"/>
        </w:rPr>
        <w:t>, se obtuvo un ICP de 98.60%; ya que 40</w:t>
      </w:r>
      <w:r w:rsidRPr="00CD728B">
        <w:rPr>
          <w:rStyle w:val="Refdenotaalpie"/>
          <w:rFonts w:ascii="Arial Narrow" w:hAnsi="Arial Narrow" w:cs="Arial"/>
          <w:sz w:val="24"/>
          <w:szCs w:val="24"/>
        </w:rPr>
        <w:footnoteReference w:id="27"/>
      </w:r>
      <w:r w:rsidRPr="00CD728B">
        <w:rPr>
          <w:rFonts w:ascii="Arial Narrow" w:hAnsi="Arial Narrow" w:cs="Arial"/>
          <w:sz w:val="24"/>
          <w:szCs w:val="24"/>
        </w:rPr>
        <w:t xml:space="preserve">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cumplieron cabalmente con una señalización fácilmente identificable y accesible que permita a la ciudadanía ingresar al sitio de transparencia; y nueve</w:t>
      </w:r>
      <w:r w:rsidRPr="00CD728B">
        <w:rPr>
          <w:rStyle w:val="Refdenotaalpie"/>
          <w:rFonts w:ascii="Arial Narrow" w:hAnsi="Arial Narrow" w:cs="Arial"/>
          <w:sz w:val="24"/>
          <w:szCs w:val="24"/>
        </w:rPr>
        <w:footnoteReference w:id="28"/>
      </w:r>
      <w:r w:rsidRPr="00CD728B">
        <w:rPr>
          <w:rFonts w:ascii="Arial Narrow" w:hAnsi="Arial Narrow" w:cs="Arial"/>
          <w:sz w:val="24"/>
          <w:szCs w:val="24"/>
        </w:rPr>
        <w:t xml:space="preserve"> cumplieron parcialmente. En atención a lo anterior, la ventana de oportunidad consiste en que los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creen un acceso fácilmente identificable que permita a la ciudadanía ingresar a la información relativa a las obligaciones de transparencia y demás normatividad aplicable en la materia. </w:t>
      </w:r>
    </w:p>
    <w:p w:rsidR="00EE5F08" w:rsidRPr="00CD728B" w:rsidRDefault="00AF69FA" w:rsidP="00EE5F08">
      <w:pPr>
        <w:pStyle w:val="Ttulo3"/>
        <w:numPr>
          <w:ilvl w:val="2"/>
          <w:numId w:val="16"/>
        </w:numPr>
        <w:contextualSpacing/>
        <w:rPr>
          <w:rFonts w:ascii="Arial Narrow" w:hAnsi="Arial Narrow"/>
          <w:b/>
          <w:color w:val="auto"/>
        </w:rPr>
      </w:pPr>
      <w:bookmarkStart w:id="26" w:name="_Toc14293727"/>
      <w:r w:rsidRPr="00CD728B">
        <w:rPr>
          <w:rFonts w:ascii="Arial Narrow" w:hAnsi="Arial Narrow"/>
          <w:b/>
          <w:color w:val="auto"/>
        </w:rPr>
        <w:t xml:space="preserve">Análisis del </w:t>
      </w:r>
      <w:r w:rsidR="009D7771">
        <w:rPr>
          <w:rFonts w:ascii="Arial Narrow" w:hAnsi="Arial Narrow"/>
          <w:b/>
          <w:color w:val="auto"/>
        </w:rPr>
        <w:t>Artículo</w:t>
      </w:r>
      <w:r w:rsidRPr="00CD728B">
        <w:rPr>
          <w:rFonts w:ascii="Arial Narrow" w:hAnsi="Arial Narrow"/>
          <w:b/>
          <w:color w:val="auto"/>
        </w:rPr>
        <w:t xml:space="preserve"> 146</w:t>
      </w:r>
      <w:bookmarkEnd w:id="26"/>
    </w:p>
    <w:p w:rsidR="00EE5F08" w:rsidRPr="00CD728B" w:rsidRDefault="00EE5F08" w:rsidP="00EE5F08">
      <w:pPr>
        <w:rPr>
          <w:rFonts w:ascii="Arial Narrow" w:hAnsi="Arial Narrow"/>
        </w:rPr>
      </w:pPr>
    </w:p>
    <w:p w:rsidR="00AF69FA" w:rsidRPr="00CD728B" w:rsidRDefault="00AF69FA"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lastRenderedPageBreak/>
        <w:t xml:space="preserve">En este </w:t>
      </w:r>
      <w:r w:rsidR="009D7771">
        <w:rPr>
          <w:rFonts w:ascii="Arial Narrow" w:hAnsi="Arial Narrow" w:cs="Arial"/>
          <w:sz w:val="24"/>
          <w:szCs w:val="24"/>
        </w:rPr>
        <w:t>Artículo</w:t>
      </w:r>
      <w:r w:rsidRPr="00CD728B">
        <w:rPr>
          <w:rFonts w:ascii="Arial Narrow" w:hAnsi="Arial Narrow" w:cs="Arial"/>
          <w:sz w:val="24"/>
          <w:szCs w:val="24"/>
        </w:rPr>
        <w:t xml:space="preserve"> obtuvieron un ICP de 64.14%; debido a que, 21</w:t>
      </w:r>
      <w:r w:rsidRPr="00CD728B">
        <w:rPr>
          <w:rStyle w:val="Refdenotaalpie"/>
          <w:rFonts w:ascii="Arial Narrow" w:hAnsi="Arial Narrow" w:cs="Arial"/>
          <w:sz w:val="24"/>
          <w:szCs w:val="24"/>
        </w:rPr>
        <w:footnoteReference w:id="29"/>
      </w:r>
      <w:r w:rsidR="00CB0FC2" w:rsidRPr="00CD728B">
        <w:rPr>
          <w:rFonts w:ascii="Arial Narrow" w:hAnsi="Arial Narrow" w:cs="Arial"/>
          <w:sz w:val="24"/>
          <w:szCs w:val="24"/>
        </w:rPr>
        <w:t xml:space="preserve"> S</w:t>
      </w:r>
      <w:r w:rsidRPr="00CD728B">
        <w:rPr>
          <w:rFonts w:ascii="Arial Narrow" w:hAnsi="Arial Narrow" w:cs="Arial"/>
          <w:sz w:val="24"/>
          <w:szCs w:val="24"/>
        </w:rPr>
        <w:t>ujetos</w:t>
      </w:r>
      <w:r w:rsidR="00CB0FC2" w:rsidRPr="00CD728B">
        <w:rPr>
          <w:rFonts w:ascii="Arial Narrow" w:hAnsi="Arial Narrow" w:cs="Arial"/>
          <w:sz w:val="24"/>
          <w:szCs w:val="24"/>
        </w:rPr>
        <w:t xml:space="preserve"> Obligados</w:t>
      </w:r>
      <w:r w:rsidRPr="00CD728B">
        <w:rPr>
          <w:rFonts w:ascii="Arial Narrow" w:hAnsi="Arial Narrow" w:cs="Arial"/>
          <w:sz w:val="24"/>
          <w:szCs w:val="24"/>
        </w:rPr>
        <w:t xml:space="preserve"> cumplieron totalmente, cinco</w:t>
      </w:r>
      <w:r w:rsidRPr="00CD728B">
        <w:rPr>
          <w:rStyle w:val="Refdenotaalpie"/>
          <w:rFonts w:ascii="Arial Narrow" w:hAnsi="Arial Narrow" w:cs="Arial"/>
          <w:sz w:val="24"/>
          <w:szCs w:val="24"/>
        </w:rPr>
        <w:footnoteReference w:id="30"/>
      </w:r>
      <w:r w:rsidRPr="00CD728B">
        <w:rPr>
          <w:rFonts w:ascii="Arial Narrow" w:hAnsi="Arial Narrow" w:cs="Arial"/>
          <w:sz w:val="24"/>
          <w:szCs w:val="24"/>
        </w:rPr>
        <w:t xml:space="preserve"> cumplieron parcialmente, 12</w:t>
      </w:r>
      <w:r w:rsidRPr="00CD728B">
        <w:rPr>
          <w:rStyle w:val="Refdenotaalpie"/>
          <w:rFonts w:ascii="Arial Narrow" w:hAnsi="Arial Narrow" w:cs="Arial"/>
          <w:sz w:val="24"/>
          <w:szCs w:val="24"/>
        </w:rPr>
        <w:footnoteReference w:id="31"/>
      </w:r>
      <w:r w:rsidR="00CB0FC2" w:rsidRPr="00CD728B">
        <w:rPr>
          <w:rFonts w:ascii="Arial Narrow" w:hAnsi="Arial Narrow" w:cs="Arial"/>
          <w:sz w:val="24"/>
          <w:szCs w:val="24"/>
        </w:rPr>
        <w:t xml:space="preserve"> </w:t>
      </w:r>
      <w:r w:rsidRPr="00CD728B">
        <w:rPr>
          <w:rFonts w:ascii="Arial Narrow" w:hAnsi="Arial Narrow" w:cs="Arial"/>
          <w:sz w:val="24"/>
          <w:szCs w:val="24"/>
        </w:rPr>
        <w:t>incumplieron parcialmente y 11</w:t>
      </w:r>
      <w:r w:rsidRPr="00CD728B">
        <w:rPr>
          <w:rStyle w:val="Refdenotaalpie"/>
          <w:rFonts w:ascii="Arial Narrow" w:hAnsi="Arial Narrow" w:cs="Arial"/>
          <w:sz w:val="24"/>
          <w:szCs w:val="24"/>
        </w:rPr>
        <w:footnoteReference w:id="32"/>
      </w:r>
      <w:r w:rsidR="00CB0FC2" w:rsidRPr="00CD728B">
        <w:rPr>
          <w:rFonts w:ascii="Arial Narrow" w:hAnsi="Arial Narrow" w:cs="Arial"/>
          <w:sz w:val="24"/>
          <w:szCs w:val="24"/>
        </w:rPr>
        <w:t xml:space="preserve"> </w:t>
      </w:r>
      <w:r w:rsidRPr="00CD728B">
        <w:rPr>
          <w:rFonts w:ascii="Arial Narrow" w:hAnsi="Arial Narrow" w:cs="Arial"/>
          <w:sz w:val="24"/>
          <w:szCs w:val="24"/>
        </w:rPr>
        <w:t xml:space="preserve">incumplieron totalmente. Al respecto, el área de oportunidad consiste en que los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publiquen sus calendarios de actualización de sus obligaciones de transparencia y tengan precaución respecto de las fechas que señalan y atiendan a lo establecido en la Ley de Transparencia y en la Tabla de Conservación de los Lineamientos y Metodología de Evaluación. </w:t>
      </w:r>
    </w:p>
    <w:p w:rsidR="00EE5F08" w:rsidRPr="00CD728B" w:rsidRDefault="00EE5F08" w:rsidP="002E7D47">
      <w:pPr>
        <w:spacing w:before="100" w:beforeAutospacing="1" w:after="100" w:afterAutospacing="1" w:line="360" w:lineRule="auto"/>
        <w:contextualSpacing/>
        <w:jc w:val="both"/>
        <w:rPr>
          <w:rFonts w:ascii="Arial Narrow" w:hAnsi="Arial Narrow" w:cs="Arial"/>
          <w:sz w:val="24"/>
          <w:szCs w:val="24"/>
        </w:rPr>
      </w:pPr>
    </w:p>
    <w:p w:rsidR="00AF69FA" w:rsidRPr="00CD728B" w:rsidRDefault="00AF69FA" w:rsidP="002E7D47">
      <w:pPr>
        <w:pStyle w:val="Ttulo3"/>
        <w:numPr>
          <w:ilvl w:val="2"/>
          <w:numId w:val="16"/>
        </w:numPr>
        <w:contextualSpacing/>
        <w:rPr>
          <w:rFonts w:ascii="Arial Narrow" w:hAnsi="Arial Narrow"/>
          <w:b/>
          <w:color w:val="auto"/>
        </w:rPr>
      </w:pPr>
      <w:bookmarkStart w:id="27" w:name="_Toc14293728"/>
      <w:r w:rsidRPr="00CD728B">
        <w:rPr>
          <w:rFonts w:ascii="Arial Narrow" w:hAnsi="Arial Narrow"/>
          <w:b/>
          <w:color w:val="auto"/>
        </w:rPr>
        <w:t xml:space="preserve">Análisis del </w:t>
      </w:r>
      <w:r w:rsidR="009D7771">
        <w:rPr>
          <w:rFonts w:ascii="Arial Narrow" w:hAnsi="Arial Narrow"/>
          <w:b/>
          <w:color w:val="auto"/>
        </w:rPr>
        <w:t>Artículo</w:t>
      </w:r>
      <w:r w:rsidRPr="00CD728B">
        <w:rPr>
          <w:rFonts w:ascii="Arial Narrow" w:hAnsi="Arial Narrow"/>
          <w:b/>
          <w:color w:val="auto"/>
        </w:rPr>
        <w:t xml:space="preserve"> 147</w:t>
      </w:r>
      <w:bookmarkEnd w:id="27"/>
      <w:r w:rsidRPr="00CD728B">
        <w:rPr>
          <w:rFonts w:ascii="Arial Narrow" w:hAnsi="Arial Narrow"/>
          <w:b/>
          <w:color w:val="auto"/>
        </w:rPr>
        <w:t xml:space="preserve"> </w:t>
      </w:r>
    </w:p>
    <w:p w:rsidR="00EE5F08" w:rsidRPr="00CD728B" w:rsidRDefault="00EE5F08" w:rsidP="00EE5F08">
      <w:pPr>
        <w:rPr>
          <w:rFonts w:ascii="Arial Narrow" w:hAnsi="Arial Narrow"/>
        </w:rPr>
      </w:pPr>
    </w:p>
    <w:p w:rsidR="00EE5F08" w:rsidRPr="00CD728B" w:rsidRDefault="00AF69FA"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lastRenderedPageBreak/>
        <w:t>Por último, los órganos desconcentrados obtuvieron un ICP de 80.27%; debido a que 28</w:t>
      </w:r>
      <w:r w:rsidRPr="00CD728B">
        <w:rPr>
          <w:rStyle w:val="Refdenotaalpie"/>
          <w:rFonts w:ascii="Arial Narrow" w:hAnsi="Arial Narrow" w:cs="Arial"/>
          <w:sz w:val="24"/>
          <w:szCs w:val="24"/>
        </w:rPr>
        <w:footnoteReference w:id="33"/>
      </w:r>
      <w:r w:rsidRPr="00CD728B">
        <w:rPr>
          <w:rFonts w:ascii="Arial Narrow" w:hAnsi="Arial Narrow" w:cs="Arial"/>
          <w:sz w:val="24"/>
          <w:szCs w:val="24"/>
        </w:rPr>
        <w:t xml:space="preserve">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tuvieron un cumplimiento total, siete</w:t>
      </w:r>
      <w:r w:rsidRPr="00CD728B">
        <w:rPr>
          <w:rStyle w:val="Refdenotaalpie"/>
          <w:rFonts w:ascii="Arial Narrow" w:hAnsi="Arial Narrow" w:cs="Arial"/>
          <w:sz w:val="24"/>
          <w:szCs w:val="24"/>
        </w:rPr>
        <w:footnoteReference w:id="34"/>
      </w:r>
      <w:r w:rsidRPr="00CD728B">
        <w:rPr>
          <w:rFonts w:ascii="Arial Narrow" w:hAnsi="Arial Narrow" w:cs="Arial"/>
          <w:sz w:val="24"/>
          <w:szCs w:val="24"/>
        </w:rPr>
        <w:t xml:space="preserve"> tuvieron cumplimiento parcial, 12</w:t>
      </w:r>
      <w:r w:rsidRPr="00CD728B">
        <w:rPr>
          <w:rStyle w:val="Refdenotaalpie"/>
          <w:rFonts w:ascii="Arial Narrow" w:hAnsi="Arial Narrow" w:cs="Arial"/>
          <w:sz w:val="24"/>
          <w:szCs w:val="24"/>
        </w:rPr>
        <w:footnoteReference w:id="35"/>
      </w:r>
      <w:r w:rsidRPr="00CD728B">
        <w:rPr>
          <w:rFonts w:ascii="Arial Narrow" w:hAnsi="Arial Narrow" w:cs="Arial"/>
          <w:sz w:val="24"/>
          <w:szCs w:val="24"/>
        </w:rPr>
        <w:t xml:space="preserve"> un incumplimiento parcial y PROCDMX y Proyecto Metro incumplieron totalmente. Las áreas de oportunidad de este </w:t>
      </w:r>
      <w:r w:rsidR="009D7771">
        <w:rPr>
          <w:rFonts w:ascii="Arial Narrow" w:hAnsi="Arial Narrow" w:cs="Arial"/>
          <w:sz w:val="24"/>
          <w:szCs w:val="24"/>
        </w:rPr>
        <w:t>Artículo</w:t>
      </w:r>
      <w:r w:rsidRPr="00CD728B">
        <w:rPr>
          <w:rFonts w:ascii="Arial Narrow" w:hAnsi="Arial Narrow" w:cs="Arial"/>
          <w:sz w:val="24"/>
          <w:szCs w:val="24"/>
        </w:rPr>
        <w:t xml:space="preserve"> consisten en que los sujetos deberán actualizar la información conforme indica la normatividad vigente, así como verificar el acceso de los hipervínculos. </w:t>
      </w:r>
    </w:p>
    <w:p w:rsidR="00EE5F08" w:rsidRPr="00CD728B" w:rsidRDefault="00EE5F08" w:rsidP="00EE5F08">
      <w:pPr>
        <w:rPr>
          <w:rFonts w:ascii="Arial Narrow" w:hAnsi="Arial Narrow"/>
        </w:rPr>
      </w:pPr>
      <w:r w:rsidRPr="00CD728B">
        <w:rPr>
          <w:rFonts w:ascii="Arial Narrow" w:hAnsi="Arial Narrow"/>
        </w:rPr>
        <w:br w:type="page"/>
      </w:r>
    </w:p>
    <w:p w:rsidR="00AF69FA" w:rsidRPr="00CD728B" w:rsidRDefault="00AF69FA" w:rsidP="002E7D47">
      <w:pPr>
        <w:pStyle w:val="Ttulo2"/>
        <w:contextualSpacing/>
        <w:rPr>
          <w:rFonts w:ascii="Arial Narrow" w:hAnsi="Arial Narrow"/>
          <w:b/>
          <w:color w:val="auto"/>
          <w:sz w:val="24"/>
          <w:szCs w:val="24"/>
        </w:rPr>
      </w:pPr>
      <w:bookmarkStart w:id="28" w:name="_Toc14293729"/>
      <w:r w:rsidRPr="00CD728B">
        <w:rPr>
          <w:rFonts w:ascii="Arial Narrow" w:hAnsi="Arial Narrow"/>
          <w:b/>
          <w:color w:val="auto"/>
          <w:sz w:val="24"/>
          <w:szCs w:val="24"/>
        </w:rPr>
        <w:lastRenderedPageBreak/>
        <w:t>1.3 FIDEICOMISOS Y FONDOS PÚBLICOS</w:t>
      </w:r>
      <w:bookmarkEnd w:id="28"/>
      <w:r w:rsidRPr="00CD728B">
        <w:rPr>
          <w:rFonts w:ascii="Arial Narrow" w:hAnsi="Arial Narrow"/>
          <w:b/>
          <w:color w:val="auto"/>
          <w:sz w:val="24"/>
          <w:szCs w:val="24"/>
        </w:rPr>
        <w:t xml:space="preserve"> </w:t>
      </w:r>
    </w:p>
    <w:p w:rsidR="00AF69FA" w:rsidRPr="00CD728B" w:rsidRDefault="00AF69FA"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 xml:space="preserve">El ámbito del Poder Ejecutivo en lo que corresponde a fondos y fideicomisos, al 31 de diciembre de 2018 estaba conformado por 11 fideicomisos y cinco fondos públicos, de conformidad con el Padrón. </w:t>
      </w:r>
    </w:p>
    <w:p w:rsidR="00AF69FA" w:rsidRPr="00CD728B" w:rsidRDefault="00AF69FA"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 xml:space="preserve">Los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así como su </w:t>
      </w:r>
      <w:r w:rsidR="00623A69">
        <w:rPr>
          <w:rFonts w:ascii="Arial Narrow" w:hAnsi="Arial Narrow" w:cs="Arial"/>
          <w:sz w:val="24"/>
          <w:szCs w:val="24"/>
        </w:rPr>
        <w:t>ICOT-PT</w:t>
      </w:r>
      <w:r w:rsidRPr="00CD728B">
        <w:rPr>
          <w:rFonts w:ascii="Arial Narrow" w:hAnsi="Arial Narrow" w:cs="Arial"/>
          <w:sz w:val="24"/>
          <w:szCs w:val="24"/>
        </w:rPr>
        <w:t xml:space="preserve">, el ICOT-PNT y el IGOT se presentan en la siguiente tabla, ordenados de forma descendente, respecto del IGOT: </w:t>
      </w:r>
    </w:p>
    <w:p w:rsidR="00EE5F08" w:rsidRPr="00CD728B" w:rsidRDefault="00EE5F08" w:rsidP="002E7D47">
      <w:pPr>
        <w:spacing w:before="100" w:beforeAutospacing="1" w:after="100" w:afterAutospacing="1" w:line="360" w:lineRule="auto"/>
        <w:contextualSpacing/>
        <w:jc w:val="both"/>
        <w:rPr>
          <w:rFonts w:ascii="Arial Narrow" w:hAnsi="Arial Narrow" w:cs="Arial"/>
          <w:sz w:val="24"/>
          <w:szCs w:val="24"/>
        </w:rPr>
      </w:pPr>
    </w:p>
    <w:tbl>
      <w:tblPr>
        <w:tblW w:w="7351" w:type="dxa"/>
        <w:jc w:val="center"/>
        <w:tblCellMar>
          <w:left w:w="70" w:type="dxa"/>
          <w:right w:w="70" w:type="dxa"/>
        </w:tblCellMar>
        <w:tblLook w:val="04A0" w:firstRow="1" w:lastRow="0" w:firstColumn="1" w:lastColumn="0" w:noHBand="0" w:noVBand="1"/>
      </w:tblPr>
      <w:tblGrid>
        <w:gridCol w:w="3745"/>
        <w:gridCol w:w="1065"/>
        <w:gridCol w:w="1427"/>
        <w:gridCol w:w="1114"/>
      </w:tblGrid>
      <w:tr w:rsidR="001E0121" w:rsidRPr="00CD728B" w:rsidTr="006C722A">
        <w:trPr>
          <w:trHeight w:val="345"/>
          <w:tblHeader/>
          <w:jc w:val="center"/>
        </w:trPr>
        <w:tc>
          <w:tcPr>
            <w:tcW w:w="7351" w:type="dxa"/>
            <w:gridSpan w:val="4"/>
            <w:tcBorders>
              <w:top w:val="single" w:sz="8" w:space="0" w:color="auto"/>
              <w:left w:val="single" w:sz="8" w:space="0" w:color="auto"/>
              <w:bottom w:val="single" w:sz="8" w:space="0" w:color="auto"/>
              <w:right w:val="single" w:sz="8" w:space="0" w:color="000000"/>
            </w:tcBorders>
            <w:shd w:val="clear" w:color="000000" w:fill="33CCCC"/>
            <w:noWrap/>
            <w:vAlign w:val="center"/>
            <w:hideMark/>
          </w:tcPr>
          <w:p w:rsidR="00AF69FA" w:rsidRPr="00CD728B" w:rsidRDefault="00AF69FA" w:rsidP="002E7D47">
            <w:pPr>
              <w:spacing w:before="100" w:beforeAutospacing="1" w:after="100" w:afterAutospacing="1" w:line="360" w:lineRule="auto"/>
              <w:contextualSpacing/>
              <w:jc w:val="center"/>
              <w:rPr>
                <w:rFonts w:ascii="Arial Narrow" w:eastAsia="Times New Roman" w:hAnsi="Arial Narrow" w:cs="Arial"/>
                <w:b/>
                <w:bCs/>
                <w:sz w:val="24"/>
                <w:szCs w:val="24"/>
                <w:lang w:val="es-MX" w:eastAsia="es-MX"/>
              </w:rPr>
            </w:pPr>
            <w:r w:rsidRPr="00CD728B">
              <w:rPr>
                <w:rFonts w:ascii="Arial Narrow" w:eastAsia="Times New Roman" w:hAnsi="Arial Narrow" w:cs="Arial"/>
                <w:b/>
                <w:bCs/>
                <w:sz w:val="24"/>
                <w:szCs w:val="24"/>
                <w:lang w:val="es-MX" w:eastAsia="es-MX"/>
              </w:rPr>
              <w:t>Resultados de la Evaluación Vinculante 2019, respecto del ejercicio 2018</w:t>
            </w:r>
          </w:p>
        </w:tc>
      </w:tr>
      <w:tr w:rsidR="001E0121" w:rsidRPr="00CD728B" w:rsidTr="006C722A">
        <w:trPr>
          <w:trHeight w:val="345"/>
          <w:tblHeader/>
          <w:jc w:val="center"/>
        </w:trPr>
        <w:tc>
          <w:tcPr>
            <w:tcW w:w="3745" w:type="dxa"/>
            <w:tcBorders>
              <w:top w:val="nil"/>
              <w:left w:val="single" w:sz="8" w:space="0" w:color="auto"/>
              <w:bottom w:val="single" w:sz="8" w:space="0" w:color="auto"/>
              <w:right w:val="single" w:sz="8" w:space="0" w:color="auto"/>
            </w:tcBorders>
            <w:shd w:val="clear" w:color="000000" w:fill="33CCCC"/>
            <w:noWrap/>
            <w:vAlign w:val="center"/>
            <w:hideMark/>
          </w:tcPr>
          <w:p w:rsidR="00AF69FA" w:rsidRPr="00CD728B" w:rsidRDefault="00AF69FA" w:rsidP="002E7D47">
            <w:pPr>
              <w:spacing w:before="100" w:beforeAutospacing="1" w:after="100" w:afterAutospacing="1" w:line="360" w:lineRule="auto"/>
              <w:contextualSpacing/>
              <w:jc w:val="both"/>
              <w:rPr>
                <w:rFonts w:ascii="Arial Narrow" w:eastAsia="Times New Roman" w:hAnsi="Arial Narrow" w:cs="Arial"/>
                <w:b/>
                <w:bCs/>
                <w:sz w:val="24"/>
                <w:szCs w:val="24"/>
                <w:lang w:val="es-MX" w:eastAsia="es-MX"/>
              </w:rPr>
            </w:pPr>
            <w:r w:rsidRPr="00CD728B">
              <w:rPr>
                <w:rFonts w:ascii="Arial Narrow" w:eastAsia="Times New Roman" w:hAnsi="Arial Narrow" w:cs="Arial"/>
                <w:b/>
                <w:bCs/>
                <w:sz w:val="24"/>
                <w:szCs w:val="24"/>
                <w:lang w:val="es-MX" w:eastAsia="es-MX"/>
              </w:rPr>
              <w:t>Sujeto Obligado</w:t>
            </w:r>
          </w:p>
        </w:tc>
        <w:tc>
          <w:tcPr>
            <w:tcW w:w="1065" w:type="dxa"/>
            <w:tcBorders>
              <w:top w:val="nil"/>
              <w:left w:val="nil"/>
              <w:bottom w:val="single" w:sz="8" w:space="0" w:color="auto"/>
              <w:right w:val="single" w:sz="8" w:space="0" w:color="auto"/>
            </w:tcBorders>
            <w:shd w:val="clear" w:color="000000" w:fill="33CCCC"/>
            <w:noWrap/>
            <w:vAlign w:val="center"/>
            <w:hideMark/>
          </w:tcPr>
          <w:p w:rsidR="00AF69FA" w:rsidRPr="00CD728B" w:rsidRDefault="00AF69FA" w:rsidP="00EE5F08">
            <w:pPr>
              <w:spacing w:before="100" w:beforeAutospacing="1" w:after="100" w:afterAutospacing="1" w:line="360" w:lineRule="auto"/>
              <w:contextualSpacing/>
              <w:jc w:val="center"/>
              <w:rPr>
                <w:rFonts w:ascii="Arial Narrow" w:eastAsia="Times New Roman" w:hAnsi="Arial Narrow" w:cs="Arial"/>
                <w:b/>
                <w:bCs/>
                <w:sz w:val="24"/>
                <w:szCs w:val="24"/>
                <w:lang w:val="es-MX" w:eastAsia="es-MX"/>
              </w:rPr>
            </w:pPr>
            <w:r w:rsidRPr="00CD728B">
              <w:rPr>
                <w:rFonts w:ascii="Arial Narrow" w:eastAsia="Times New Roman" w:hAnsi="Arial Narrow" w:cs="Arial"/>
                <w:b/>
                <w:bCs/>
                <w:sz w:val="24"/>
                <w:szCs w:val="24"/>
                <w:lang w:val="es-MX" w:eastAsia="es-MX"/>
              </w:rPr>
              <w:t>IGOT</w:t>
            </w:r>
          </w:p>
        </w:tc>
        <w:tc>
          <w:tcPr>
            <w:tcW w:w="1427" w:type="dxa"/>
            <w:tcBorders>
              <w:top w:val="nil"/>
              <w:left w:val="nil"/>
              <w:bottom w:val="single" w:sz="8" w:space="0" w:color="auto"/>
              <w:right w:val="single" w:sz="8" w:space="0" w:color="auto"/>
            </w:tcBorders>
            <w:shd w:val="clear" w:color="000000" w:fill="33CCCC"/>
            <w:noWrap/>
            <w:vAlign w:val="center"/>
            <w:hideMark/>
          </w:tcPr>
          <w:p w:rsidR="00AF69FA" w:rsidRPr="00CD728B" w:rsidRDefault="00AF69FA" w:rsidP="00EE5F08">
            <w:pPr>
              <w:spacing w:before="100" w:beforeAutospacing="1" w:after="100" w:afterAutospacing="1" w:line="360" w:lineRule="auto"/>
              <w:contextualSpacing/>
              <w:jc w:val="center"/>
              <w:rPr>
                <w:rFonts w:ascii="Arial Narrow" w:eastAsia="Times New Roman" w:hAnsi="Arial Narrow" w:cs="Arial"/>
                <w:b/>
                <w:bCs/>
                <w:sz w:val="24"/>
                <w:szCs w:val="24"/>
                <w:lang w:val="es-MX" w:eastAsia="es-MX"/>
              </w:rPr>
            </w:pPr>
            <w:r w:rsidRPr="00CD728B">
              <w:rPr>
                <w:rFonts w:ascii="Arial Narrow" w:eastAsia="Times New Roman" w:hAnsi="Arial Narrow" w:cs="Arial"/>
                <w:b/>
                <w:bCs/>
                <w:sz w:val="24"/>
                <w:szCs w:val="24"/>
                <w:lang w:val="es-MX" w:eastAsia="es-MX"/>
              </w:rPr>
              <w:t>ICOT_PT</w:t>
            </w:r>
          </w:p>
        </w:tc>
        <w:tc>
          <w:tcPr>
            <w:tcW w:w="1114" w:type="dxa"/>
            <w:tcBorders>
              <w:top w:val="nil"/>
              <w:left w:val="nil"/>
              <w:bottom w:val="single" w:sz="8" w:space="0" w:color="auto"/>
              <w:right w:val="single" w:sz="8" w:space="0" w:color="auto"/>
            </w:tcBorders>
            <w:shd w:val="clear" w:color="000000" w:fill="33CCCC"/>
            <w:noWrap/>
            <w:vAlign w:val="center"/>
            <w:hideMark/>
          </w:tcPr>
          <w:p w:rsidR="00AF69FA" w:rsidRPr="00CD728B" w:rsidRDefault="00AF69FA" w:rsidP="00EE5F08">
            <w:pPr>
              <w:spacing w:before="100" w:beforeAutospacing="1" w:after="100" w:afterAutospacing="1" w:line="360" w:lineRule="auto"/>
              <w:contextualSpacing/>
              <w:jc w:val="center"/>
              <w:rPr>
                <w:rFonts w:ascii="Arial Narrow" w:eastAsia="Times New Roman" w:hAnsi="Arial Narrow" w:cs="Arial"/>
                <w:b/>
                <w:bCs/>
                <w:sz w:val="24"/>
                <w:szCs w:val="24"/>
                <w:lang w:val="es-MX" w:eastAsia="es-MX"/>
              </w:rPr>
            </w:pPr>
            <w:r w:rsidRPr="00CD728B">
              <w:rPr>
                <w:rFonts w:ascii="Arial Narrow" w:eastAsia="Times New Roman" w:hAnsi="Arial Narrow" w:cs="Arial"/>
                <w:b/>
                <w:bCs/>
                <w:sz w:val="24"/>
                <w:szCs w:val="24"/>
                <w:lang w:val="es-MX" w:eastAsia="es-MX"/>
              </w:rPr>
              <w:t>ICOT_PNT</w:t>
            </w:r>
          </w:p>
        </w:tc>
      </w:tr>
      <w:tr w:rsidR="00AF69FA" w:rsidRPr="00CD728B" w:rsidTr="006C722A">
        <w:trPr>
          <w:trHeight w:val="345"/>
          <w:jc w:val="center"/>
        </w:trPr>
        <w:tc>
          <w:tcPr>
            <w:tcW w:w="3745" w:type="dxa"/>
            <w:tcBorders>
              <w:top w:val="nil"/>
              <w:left w:val="single" w:sz="8" w:space="0" w:color="auto"/>
              <w:bottom w:val="single" w:sz="8" w:space="0" w:color="auto"/>
              <w:right w:val="single" w:sz="8" w:space="0" w:color="auto"/>
            </w:tcBorders>
            <w:shd w:val="clear" w:color="auto" w:fill="auto"/>
            <w:noWrap/>
            <w:hideMark/>
          </w:tcPr>
          <w:p w:rsidR="00AF69FA" w:rsidRPr="00CD728B" w:rsidRDefault="00AF69FA" w:rsidP="002E7D47">
            <w:pPr>
              <w:spacing w:before="100" w:beforeAutospacing="1" w:after="100" w:afterAutospacing="1" w:line="360" w:lineRule="auto"/>
              <w:contextualSpacing/>
              <w:jc w:val="both"/>
              <w:rPr>
                <w:rFonts w:ascii="Arial Narrow" w:eastAsia="Times New Roman" w:hAnsi="Arial Narrow" w:cs="Arial"/>
                <w:sz w:val="24"/>
                <w:szCs w:val="24"/>
                <w:lang w:val="es-MX" w:eastAsia="es-MX"/>
              </w:rPr>
            </w:pPr>
            <w:r w:rsidRPr="00CD728B">
              <w:rPr>
                <w:rFonts w:ascii="Arial Narrow" w:hAnsi="Arial Narrow"/>
                <w:sz w:val="24"/>
                <w:szCs w:val="24"/>
              </w:rPr>
              <w:t>Fondo Mixto de Promoción Turística del Distrito Federal</w:t>
            </w:r>
          </w:p>
        </w:tc>
        <w:tc>
          <w:tcPr>
            <w:tcW w:w="1065" w:type="dxa"/>
            <w:tcBorders>
              <w:top w:val="nil"/>
              <w:left w:val="nil"/>
              <w:bottom w:val="single" w:sz="8" w:space="0" w:color="auto"/>
              <w:right w:val="single" w:sz="8" w:space="0" w:color="auto"/>
            </w:tcBorders>
            <w:shd w:val="clear" w:color="auto" w:fill="C9C9C9" w:themeFill="accent3" w:themeFillTint="99"/>
            <w:noWrap/>
            <w:hideMark/>
          </w:tcPr>
          <w:p w:rsidR="00AF69FA" w:rsidRPr="00CD728B" w:rsidRDefault="00AF69FA" w:rsidP="00EE5F08">
            <w:pPr>
              <w:spacing w:before="100" w:beforeAutospacing="1" w:after="100" w:afterAutospacing="1" w:line="360" w:lineRule="auto"/>
              <w:contextualSpacing/>
              <w:jc w:val="center"/>
              <w:rPr>
                <w:rFonts w:ascii="Arial Narrow" w:eastAsia="Times New Roman" w:hAnsi="Arial Narrow" w:cs="Arial"/>
                <w:sz w:val="24"/>
                <w:szCs w:val="24"/>
                <w:lang w:val="es-MX" w:eastAsia="es-MX"/>
              </w:rPr>
            </w:pPr>
            <w:r w:rsidRPr="00CD728B">
              <w:rPr>
                <w:rFonts w:ascii="Arial Narrow" w:hAnsi="Arial Narrow"/>
                <w:sz w:val="24"/>
                <w:szCs w:val="24"/>
              </w:rPr>
              <w:t>99.95</w:t>
            </w:r>
          </w:p>
        </w:tc>
        <w:tc>
          <w:tcPr>
            <w:tcW w:w="1427" w:type="dxa"/>
            <w:tcBorders>
              <w:top w:val="nil"/>
              <w:left w:val="nil"/>
              <w:bottom w:val="single" w:sz="8" w:space="0" w:color="auto"/>
              <w:right w:val="single" w:sz="8" w:space="0" w:color="auto"/>
            </w:tcBorders>
            <w:shd w:val="clear" w:color="auto" w:fill="auto"/>
            <w:noWrap/>
            <w:hideMark/>
          </w:tcPr>
          <w:p w:rsidR="00AF69FA" w:rsidRPr="00CD728B" w:rsidRDefault="00AF69FA" w:rsidP="00EE5F08">
            <w:pPr>
              <w:spacing w:before="100" w:beforeAutospacing="1" w:after="100" w:afterAutospacing="1" w:line="360" w:lineRule="auto"/>
              <w:contextualSpacing/>
              <w:jc w:val="center"/>
              <w:rPr>
                <w:rFonts w:ascii="Arial Narrow" w:eastAsia="Times New Roman" w:hAnsi="Arial Narrow" w:cs="Arial"/>
                <w:sz w:val="24"/>
                <w:szCs w:val="24"/>
                <w:lang w:val="es-MX" w:eastAsia="es-MX"/>
              </w:rPr>
            </w:pPr>
            <w:r w:rsidRPr="00CD728B">
              <w:rPr>
                <w:rFonts w:ascii="Arial Narrow" w:hAnsi="Arial Narrow"/>
                <w:sz w:val="24"/>
                <w:szCs w:val="24"/>
              </w:rPr>
              <w:t>99.94</w:t>
            </w:r>
          </w:p>
        </w:tc>
        <w:tc>
          <w:tcPr>
            <w:tcW w:w="1114" w:type="dxa"/>
            <w:tcBorders>
              <w:top w:val="nil"/>
              <w:left w:val="nil"/>
              <w:bottom w:val="single" w:sz="8" w:space="0" w:color="auto"/>
              <w:right w:val="single" w:sz="8" w:space="0" w:color="auto"/>
            </w:tcBorders>
            <w:shd w:val="clear" w:color="auto" w:fill="auto"/>
            <w:noWrap/>
            <w:hideMark/>
          </w:tcPr>
          <w:p w:rsidR="00AF69FA" w:rsidRPr="00CD728B" w:rsidRDefault="00AF69FA" w:rsidP="00EE5F08">
            <w:pPr>
              <w:spacing w:before="100" w:beforeAutospacing="1" w:after="100" w:afterAutospacing="1" w:line="360" w:lineRule="auto"/>
              <w:contextualSpacing/>
              <w:jc w:val="center"/>
              <w:rPr>
                <w:rFonts w:ascii="Arial Narrow" w:eastAsia="Times New Roman" w:hAnsi="Arial Narrow" w:cs="Arial"/>
                <w:sz w:val="24"/>
                <w:szCs w:val="24"/>
                <w:lang w:val="es-MX" w:eastAsia="es-MX"/>
              </w:rPr>
            </w:pPr>
            <w:r w:rsidRPr="00CD728B">
              <w:rPr>
                <w:rFonts w:ascii="Arial Narrow" w:hAnsi="Arial Narrow"/>
                <w:sz w:val="24"/>
                <w:szCs w:val="24"/>
              </w:rPr>
              <w:t>99.97</w:t>
            </w:r>
          </w:p>
        </w:tc>
      </w:tr>
      <w:tr w:rsidR="00AF69FA" w:rsidRPr="00CD728B" w:rsidTr="006C722A">
        <w:trPr>
          <w:trHeight w:val="345"/>
          <w:jc w:val="center"/>
        </w:trPr>
        <w:tc>
          <w:tcPr>
            <w:tcW w:w="3745" w:type="dxa"/>
            <w:tcBorders>
              <w:top w:val="nil"/>
              <w:left w:val="single" w:sz="8" w:space="0" w:color="auto"/>
              <w:bottom w:val="single" w:sz="8" w:space="0" w:color="auto"/>
              <w:right w:val="single" w:sz="8" w:space="0" w:color="auto"/>
            </w:tcBorders>
            <w:shd w:val="clear" w:color="auto" w:fill="auto"/>
            <w:noWrap/>
            <w:hideMark/>
          </w:tcPr>
          <w:p w:rsidR="00AF69FA" w:rsidRPr="00CD728B" w:rsidRDefault="00AF69FA" w:rsidP="002E7D47">
            <w:pPr>
              <w:spacing w:before="100" w:beforeAutospacing="1" w:after="100" w:afterAutospacing="1" w:line="360" w:lineRule="auto"/>
              <w:contextualSpacing/>
              <w:jc w:val="both"/>
              <w:rPr>
                <w:rFonts w:ascii="Arial Narrow" w:eastAsia="Times New Roman" w:hAnsi="Arial Narrow" w:cs="Arial"/>
                <w:sz w:val="24"/>
                <w:szCs w:val="24"/>
                <w:lang w:val="es-MX" w:eastAsia="es-MX"/>
              </w:rPr>
            </w:pPr>
            <w:r w:rsidRPr="00CD728B">
              <w:rPr>
                <w:rFonts w:ascii="Arial Narrow" w:hAnsi="Arial Narrow"/>
                <w:sz w:val="24"/>
                <w:szCs w:val="24"/>
              </w:rPr>
              <w:t>Fideicomiso de Recuperación Crediticia de la Ciudad de México</w:t>
            </w:r>
          </w:p>
        </w:tc>
        <w:tc>
          <w:tcPr>
            <w:tcW w:w="1065" w:type="dxa"/>
            <w:tcBorders>
              <w:top w:val="nil"/>
              <w:left w:val="nil"/>
              <w:bottom w:val="single" w:sz="8" w:space="0" w:color="auto"/>
              <w:right w:val="single" w:sz="8" w:space="0" w:color="auto"/>
            </w:tcBorders>
            <w:shd w:val="clear" w:color="auto" w:fill="C9C9C9" w:themeFill="accent3" w:themeFillTint="99"/>
            <w:noWrap/>
            <w:hideMark/>
          </w:tcPr>
          <w:p w:rsidR="00AF69FA" w:rsidRPr="00CD728B" w:rsidRDefault="00AF69FA" w:rsidP="00EE5F08">
            <w:pPr>
              <w:spacing w:before="100" w:beforeAutospacing="1" w:after="100" w:afterAutospacing="1" w:line="360" w:lineRule="auto"/>
              <w:contextualSpacing/>
              <w:jc w:val="center"/>
              <w:rPr>
                <w:rFonts w:ascii="Arial Narrow" w:eastAsia="Times New Roman" w:hAnsi="Arial Narrow" w:cs="Arial"/>
                <w:sz w:val="24"/>
                <w:szCs w:val="24"/>
                <w:lang w:val="es-MX" w:eastAsia="es-MX"/>
              </w:rPr>
            </w:pPr>
            <w:r w:rsidRPr="00CD728B">
              <w:rPr>
                <w:rFonts w:ascii="Arial Narrow" w:hAnsi="Arial Narrow"/>
                <w:sz w:val="24"/>
                <w:szCs w:val="24"/>
              </w:rPr>
              <w:t>93.26</w:t>
            </w:r>
          </w:p>
        </w:tc>
        <w:tc>
          <w:tcPr>
            <w:tcW w:w="1427" w:type="dxa"/>
            <w:tcBorders>
              <w:top w:val="nil"/>
              <w:left w:val="nil"/>
              <w:bottom w:val="single" w:sz="8" w:space="0" w:color="auto"/>
              <w:right w:val="single" w:sz="8" w:space="0" w:color="auto"/>
            </w:tcBorders>
            <w:shd w:val="clear" w:color="auto" w:fill="auto"/>
            <w:noWrap/>
            <w:hideMark/>
          </w:tcPr>
          <w:p w:rsidR="00AF69FA" w:rsidRPr="00CD728B" w:rsidRDefault="00AF69FA" w:rsidP="00EE5F08">
            <w:pPr>
              <w:spacing w:before="100" w:beforeAutospacing="1" w:after="100" w:afterAutospacing="1" w:line="360" w:lineRule="auto"/>
              <w:contextualSpacing/>
              <w:jc w:val="center"/>
              <w:rPr>
                <w:rFonts w:ascii="Arial Narrow" w:eastAsia="Times New Roman" w:hAnsi="Arial Narrow" w:cs="Arial"/>
                <w:sz w:val="24"/>
                <w:szCs w:val="24"/>
                <w:lang w:val="es-MX" w:eastAsia="es-MX"/>
              </w:rPr>
            </w:pPr>
            <w:r w:rsidRPr="00CD728B">
              <w:rPr>
                <w:rFonts w:ascii="Arial Narrow" w:hAnsi="Arial Narrow"/>
                <w:sz w:val="24"/>
                <w:szCs w:val="24"/>
              </w:rPr>
              <w:t>89.74</w:t>
            </w:r>
          </w:p>
        </w:tc>
        <w:tc>
          <w:tcPr>
            <w:tcW w:w="1114" w:type="dxa"/>
            <w:tcBorders>
              <w:top w:val="nil"/>
              <w:left w:val="nil"/>
              <w:bottom w:val="single" w:sz="8" w:space="0" w:color="auto"/>
              <w:right w:val="single" w:sz="8" w:space="0" w:color="auto"/>
            </w:tcBorders>
            <w:shd w:val="clear" w:color="auto" w:fill="auto"/>
            <w:noWrap/>
            <w:hideMark/>
          </w:tcPr>
          <w:p w:rsidR="00AF69FA" w:rsidRPr="00CD728B" w:rsidRDefault="00AF69FA" w:rsidP="00EE5F08">
            <w:pPr>
              <w:spacing w:before="100" w:beforeAutospacing="1" w:after="100" w:afterAutospacing="1" w:line="360" w:lineRule="auto"/>
              <w:contextualSpacing/>
              <w:jc w:val="center"/>
              <w:rPr>
                <w:rFonts w:ascii="Arial Narrow" w:eastAsia="Times New Roman" w:hAnsi="Arial Narrow" w:cs="Arial"/>
                <w:sz w:val="24"/>
                <w:szCs w:val="24"/>
                <w:lang w:val="es-MX" w:eastAsia="es-MX"/>
              </w:rPr>
            </w:pPr>
            <w:r w:rsidRPr="00CD728B">
              <w:rPr>
                <w:rFonts w:ascii="Arial Narrow" w:hAnsi="Arial Narrow"/>
                <w:sz w:val="24"/>
                <w:szCs w:val="24"/>
              </w:rPr>
              <w:t>96.77</w:t>
            </w:r>
          </w:p>
        </w:tc>
      </w:tr>
      <w:tr w:rsidR="00AF69FA" w:rsidRPr="00CD728B" w:rsidTr="006C722A">
        <w:trPr>
          <w:trHeight w:val="345"/>
          <w:jc w:val="center"/>
        </w:trPr>
        <w:tc>
          <w:tcPr>
            <w:tcW w:w="3745" w:type="dxa"/>
            <w:tcBorders>
              <w:top w:val="nil"/>
              <w:left w:val="single" w:sz="8" w:space="0" w:color="auto"/>
              <w:bottom w:val="single" w:sz="8" w:space="0" w:color="auto"/>
              <w:right w:val="single" w:sz="8" w:space="0" w:color="auto"/>
            </w:tcBorders>
            <w:shd w:val="clear" w:color="auto" w:fill="auto"/>
            <w:noWrap/>
            <w:hideMark/>
          </w:tcPr>
          <w:p w:rsidR="00AF69FA" w:rsidRPr="00CD728B" w:rsidRDefault="00AF69FA" w:rsidP="002E7D47">
            <w:pPr>
              <w:spacing w:before="100" w:beforeAutospacing="1" w:after="100" w:afterAutospacing="1" w:line="360" w:lineRule="auto"/>
              <w:contextualSpacing/>
              <w:jc w:val="both"/>
              <w:rPr>
                <w:rFonts w:ascii="Arial Narrow" w:eastAsia="Times New Roman" w:hAnsi="Arial Narrow" w:cs="Arial"/>
                <w:sz w:val="24"/>
                <w:szCs w:val="24"/>
                <w:lang w:val="es-MX" w:eastAsia="es-MX"/>
              </w:rPr>
            </w:pPr>
            <w:r w:rsidRPr="00CD728B">
              <w:rPr>
                <w:rFonts w:ascii="Arial Narrow" w:hAnsi="Arial Narrow"/>
                <w:sz w:val="24"/>
                <w:szCs w:val="24"/>
              </w:rPr>
              <w:t>Fideicomiso Centro Histórico de la Ciudad de México</w:t>
            </w:r>
          </w:p>
        </w:tc>
        <w:tc>
          <w:tcPr>
            <w:tcW w:w="1065" w:type="dxa"/>
            <w:tcBorders>
              <w:top w:val="nil"/>
              <w:left w:val="nil"/>
              <w:bottom w:val="single" w:sz="8" w:space="0" w:color="auto"/>
              <w:right w:val="single" w:sz="8" w:space="0" w:color="auto"/>
            </w:tcBorders>
            <w:shd w:val="clear" w:color="auto" w:fill="C9C9C9" w:themeFill="accent3" w:themeFillTint="99"/>
            <w:noWrap/>
            <w:hideMark/>
          </w:tcPr>
          <w:p w:rsidR="00AF69FA" w:rsidRPr="00CD728B" w:rsidRDefault="00AF69FA" w:rsidP="00EE5F08">
            <w:pPr>
              <w:spacing w:before="100" w:beforeAutospacing="1" w:after="100" w:afterAutospacing="1" w:line="360" w:lineRule="auto"/>
              <w:contextualSpacing/>
              <w:jc w:val="center"/>
              <w:rPr>
                <w:rFonts w:ascii="Arial Narrow" w:eastAsia="Times New Roman" w:hAnsi="Arial Narrow" w:cs="Arial"/>
                <w:sz w:val="24"/>
                <w:szCs w:val="24"/>
                <w:lang w:val="es-MX" w:eastAsia="es-MX"/>
              </w:rPr>
            </w:pPr>
            <w:r w:rsidRPr="00CD728B">
              <w:rPr>
                <w:rFonts w:ascii="Arial Narrow" w:hAnsi="Arial Narrow"/>
                <w:sz w:val="24"/>
                <w:szCs w:val="24"/>
              </w:rPr>
              <w:t>84.45</w:t>
            </w:r>
          </w:p>
        </w:tc>
        <w:tc>
          <w:tcPr>
            <w:tcW w:w="1427" w:type="dxa"/>
            <w:tcBorders>
              <w:top w:val="nil"/>
              <w:left w:val="nil"/>
              <w:bottom w:val="single" w:sz="8" w:space="0" w:color="auto"/>
              <w:right w:val="single" w:sz="8" w:space="0" w:color="auto"/>
            </w:tcBorders>
            <w:shd w:val="clear" w:color="auto" w:fill="auto"/>
            <w:noWrap/>
            <w:hideMark/>
          </w:tcPr>
          <w:p w:rsidR="00AF69FA" w:rsidRPr="00CD728B" w:rsidRDefault="00AF69FA" w:rsidP="00EE5F08">
            <w:pPr>
              <w:spacing w:before="100" w:beforeAutospacing="1" w:after="100" w:afterAutospacing="1" w:line="360" w:lineRule="auto"/>
              <w:contextualSpacing/>
              <w:jc w:val="center"/>
              <w:rPr>
                <w:rFonts w:ascii="Arial Narrow" w:eastAsia="Times New Roman" w:hAnsi="Arial Narrow" w:cs="Arial"/>
                <w:sz w:val="24"/>
                <w:szCs w:val="24"/>
                <w:lang w:val="es-MX" w:eastAsia="es-MX"/>
              </w:rPr>
            </w:pPr>
            <w:r w:rsidRPr="00CD728B">
              <w:rPr>
                <w:rFonts w:ascii="Arial Narrow" w:hAnsi="Arial Narrow"/>
                <w:sz w:val="24"/>
                <w:szCs w:val="24"/>
              </w:rPr>
              <w:t>80.96</w:t>
            </w:r>
          </w:p>
        </w:tc>
        <w:tc>
          <w:tcPr>
            <w:tcW w:w="1114" w:type="dxa"/>
            <w:tcBorders>
              <w:top w:val="nil"/>
              <w:left w:val="nil"/>
              <w:bottom w:val="single" w:sz="8" w:space="0" w:color="auto"/>
              <w:right w:val="single" w:sz="8" w:space="0" w:color="auto"/>
            </w:tcBorders>
            <w:shd w:val="clear" w:color="auto" w:fill="auto"/>
            <w:noWrap/>
            <w:hideMark/>
          </w:tcPr>
          <w:p w:rsidR="00AF69FA" w:rsidRPr="00CD728B" w:rsidRDefault="00AF69FA" w:rsidP="00EE5F08">
            <w:pPr>
              <w:spacing w:before="100" w:beforeAutospacing="1" w:after="100" w:afterAutospacing="1" w:line="360" w:lineRule="auto"/>
              <w:contextualSpacing/>
              <w:jc w:val="center"/>
              <w:rPr>
                <w:rFonts w:ascii="Arial Narrow" w:eastAsia="Times New Roman" w:hAnsi="Arial Narrow" w:cs="Arial"/>
                <w:sz w:val="24"/>
                <w:szCs w:val="24"/>
                <w:lang w:val="es-MX" w:eastAsia="es-MX"/>
              </w:rPr>
            </w:pPr>
            <w:r w:rsidRPr="00CD728B">
              <w:rPr>
                <w:rFonts w:ascii="Arial Narrow" w:hAnsi="Arial Narrow"/>
                <w:sz w:val="24"/>
                <w:szCs w:val="24"/>
              </w:rPr>
              <w:t>87.94</w:t>
            </w:r>
          </w:p>
        </w:tc>
      </w:tr>
      <w:tr w:rsidR="00AF69FA" w:rsidRPr="00CD728B" w:rsidTr="006C722A">
        <w:trPr>
          <w:trHeight w:val="345"/>
          <w:jc w:val="center"/>
        </w:trPr>
        <w:tc>
          <w:tcPr>
            <w:tcW w:w="3745" w:type="dxa"/>
            <w:tcBorders>
              <w:top w:val="nil"/>
              <w:left w:val="single" w:sz="8" w:space="0" w:color="auto"/>
              <w:bottom w:val="single" w:sz="8" w:space="0" w:color="auto"/>
              <w:right w:val="single" w:sz="8" w:space="0" w:color="auto"/>
            </w:tcBorders>
            <w:shd w:val="clear" w:color="auto" w:fill="auto"/>
            <w:noWrap/>
            <w:hideMark/>
          </w:tcPr>
          <w:p w:rsidR="00AF69FA" w:rsidRPr="00CD728B" w:rsidRDefault="00AF69FA" w:rsidP="002E7D47">
            <w:pPr>
              <w:spacing w:before="100" w:beforeAutospacing="1" w:after="100" w:afterAutospacing="1" w:line="360" w:lineRule="auto"/>
              <w:contextualSpacing/>
              <w:jc w:val="both"/>
              <w:rPr>
                <w:rFonts w:ascii="Arial Narrow" w:eastAsia="Times New Roman" w:hAnsi="Arial Narrow" w:cs="Arial"/>
                <w:sz w:val="24"/>
                <w:szCs w:val="24"/>
                <w:lang w:val="es-MX" w:eastAsia="es-MX"/>
              </w:rPr>
            </w:pPr>
            <w:r w:rsidRPr="00CD728B">
              <w:rPr>
                <w:rFonts w:ascii="Arial Narrow" w:hAnsi="Arial Narrow"/>
                <w:sz w:val="24"/>
                <w:szCs w:val="24"/>
              </w:rPr>
              <w:t>Fondo de Desarrollo Económico del Distrito Federal</w:t>
            </w:r>
          </w:p>
        </w:tc>
        <w:tc>
          <w:tcPr>
            <w:tcW w:w="1065" w:type="dxa"/>
            <w:tcBorders>
              <w:top w:val="nil"/>
              <w:left w:val="nil"/>
              <w:bottom w:val="single" w:sz="8" w:space="0" w:color="auto"/>
              <w:right w:val="single" w:sz="8" w:space="0" w:color="auto"/>
            </w:tcBorders>
            <w:shd w:val="clear" w:color="auto" w:fill="C9C9C9" w:themeFill="accent3" w:themeFillTint="99"/>
            <w:noWrap/>
            <w:hideMark/>
          </w:tcPr>
          <w:p w:rsidR="00AF69FA" w:rsidRPr="00CD728B" w:rsidRDefault="00AF69FA" w:rsidP="00EE5F08">
            <w:pPr>
              <w:spacing w:before="100" w:beforeAutospacing="1" w:after="100" w:afterAutospacing="1" w:line="360" w:lineRule="auto"/>
              <w:contextualSpacing/>
              <w:jc w:val="center"/>
              <w:rPr>
                <w:rFonts w:ascii="Arial Narrow" w:eastAsia="Times New Roman" w:hAnsi="Arial Narrow" w:cs="Arial"/>
                <w:sz w:val="24"/>
                <w:szCs w:val="24"/>
                <w:lang w:val="es-MX" w:eastAsia="es-MX"/>
              </w:rPr>
            </w:pPr>
            <w:r w:rsidRPr="00CD728B">
              <w:rPr>
                <w:rFonts w:ascii="Arial Narrow" w:hAnsi="Arial Narrow"/>
                <w:sz w:val="24"/>
                <w:szCs w:val="24"/>
              </w:rPr>
              <w:t>83.39</w:t>
            </w:r>
          </w:p>
        </w:tc>
        <w:tc>
          <w:tcPr>
            <w:tcW w:w="1427" w:type="dxa"/>
            <w:tcBorders>
              <w:top w:val="nil"/>
              <w:left w:val="nil"/>
              <w:bottom w:val="single" w:sz="8" w:space="0" w:color="auto"/>
              <w:right w:val="single" w:sz="8" w:space="0" w:color="auto"/>
            </w:tcBorders>
            <w:shd w:val="clear" w:color="auto" w:fill="auto"/>
            <w:noWrap/>
            <w:hideMark/>
          </w:tcPr>
          <w:p w:rsidR="00AF69FA" w:rsidRPr="00CD728B" w:rsidRDefault="00AF69FA" w:rsidP="00EE5F08">
            <w:pPr>
              <w:spacing w:before="100" w:beforeAutospacing="1" w:after="100" w:afterAutospacing="1" w:line="360" w:lineRule="auto"/>
              <w:contextualSpacing/>
              <w:jc w:val="center"/>
              <w:rPr>
                <w:rFonts w:ascii="Arial Narrow" w:eastAsia="Times New Roman" w:hAnsi="Arial Narrow" w:cs="Arial"/>
                <w:sz w:val="24"/>
                <w:szCs w:val="24"/>
                <w:lang w:val="es-MX" w:eastAsia="es-MX"/>
              </w:rPr>
            </w:pPr>
            <w:r w:rsidRPr="00CD728B">
              <w:rPr>
                <w:rFonts w:ascii="Arial Narrow" w:hAnsi="Arial Narrow"/>
                <w:sz w:val="24"/>
                <w:szCs w:val="24"/>
              </w:rPr>
              <w:t>73.31</w:t>
            </w:r>
          </w:p>
        </w:tc>
        <w:tc>
          <w:tcPr>
            <w:tcW w:w="1114" w:type="dxa"/>
            <w:tcBorders>
              <w:top w:val="nil"/>
              <w:left w:val="nil"/>
              <w:bottom w:val="single" w:sz="8" w:space="0" w:color="auto"/>
              <w:right w:val="single" w:sz="8" w:space="0" w:color="auto"/>
            </w:tcBorders>
            <w:shd w:val="clear" w:color="auto" w:fill="auto"/>
            <w:noWrap/>
            <w:hideMark/>
          </w:tcPr>
          <w:p w:rsidR="00AF69FA" w:rsidRPr="00CD728B" w:rsidRDefault="00AF69FA" w:rsidP="00EE5F08">
            <w:pPr>
              <w:spacing w:before="100" w:beforeAutospacing="1" w:after="100" w:afterAutospacing="1" w:line="360" w:lineRule="auto"/>
              <w:contextualSpacing/>
              <w:jc w:val="center"/>
              <w:rPr>
                <w:rFonts w:ascii="Arial Narrow" w:eastAsia="Times New Roman" w:hAnsi="Arial Narrow" w:cs="Arial"/>
                <w:sz w:val="24"/>
                <w:szCs w:val="24"/>
                <w:lang w:val="es-MX" w:eastAsia="es-MX"/>
              </w:rPr>
            </w:pPr>
            <w:r w:rsidRPr="00CD728B">
              <w:rPr>
                <w:rFonts w:ascii="Arial Narrow" w:hAnsi="Arial Narrow"/>
                <w:sz w:val="24"/>
                <w:szCs w:val="24"/>
              </w:rPr>
              <w:t>93.48</w:t>
            </w:r>
          </w:p>
        </w:tc>
      </w:tr>
      <w:tr w:rsidR="00AF69FA" w:rsidRPr="00CD728B" w:rsidTr="006C722A">
        <w:trPr>
          <w:trHeight w:val="345"/>
          <w:jc w:val="center"/>
        </w:trPr>
        <w:tc>
          <w:tcPr>
            <w:tcW w:w="3745" w:type="dxa"/>
            <w:tcBorders>
              <w:top w:val="nil"/>
              <w:left w:val="single" w:sz="8" w:space="0" w:color="auto"/>
              <w:bottom w:val="single" w:sz="8" w:space="0" w:color="auto"/>
              <w:right w:val="single" w:sz="8" w:space="0" w:color="auto"/>
            </w:tcBorders>
            <w:shd w:val="clear" w:color="auto" w:fill="auto"/>
            <w:noWrap/>
            <w:hideMark/>
          </w:tcPr>
          <w:p w:rsidR="00AF69FA" w:rsidRPr="00CD728B" w:rsidRDefault="00AF69FA" w:rsidP="002E7D47">
            <w:pPr>
              <w:spacing w:before="100" w:beforeAutospacing="1" w:after="100" w:afterAutospacing="1" w:line="360" w:lineRule="auto"/>
              <w:contextualSpacing/>
              <w:jc w:val="both"/>
              <w:rPr>
                <w:rFonts w:ascii="Arial Narrow" w:eastAsia="Times New Roman" w:hAnsi="Arial Narrow" w:cs="Arial"/>
                <w:sz w:val="24"/>
                <w:szCs w:val="24"/>
                <w:lang w:val="es-MX" w:eastAsia="es-MX"/>
              </w:rPr>
            </w:pPr>
            <w:r w:rsidRPr="00CD728B">
              <w:rPr>
                <w:rFonts w:ascii="Arial Narrow" w:hAnsi="Arial Narrow"/>
                <w:sz w:val="24"/>
                <w:szCs w:val="24"/>
              </w:rPr>
              <w:t>Fondo para el Desarrollo Social de la Ciudad de México</w:t>
            </w:r>
          </w:p>
        </w:tc>
        <w:tc>
          <w:tcPr>
            <w:tcW w:w="1065" w:type="dxa"/>
            <w:tcBorders>
              <w:top w:val="nil"/>
              <w:left w:val="nil"/>
              <w:bottom w:val="single" w:sz="8" w:space="0" w:color="auto"/>
              <w:right w:val="single" w:sz="8" w:space="0" w:color="auto"/>
            </w:tcBorders>
            <w:shd w:val="clear" w:color="auto" w:fill="C9C9C9" w:themeFill="accent3" w:themeFillTint="99"/>
            <w:noWrap/>
            <w:hideMark/>
          </w:tcPr>
          <w:p w:rsidR="00AF69FA" w:rsidRPr="00CD728B" w:rsidRDefault="00AF69FA" w:rsidP="00EE5F08">
            <w:pPr>
              <w:spacing w:before="100" w:beforeAutospacing="1" w:after="100" w:afterAutospacing="1" w:line="360" w:lineRule="auto"/>
              <w:contextualSpacing/>
              <w:jc w:val="center"/>
              <w:rPr>
                <w:rFonts w:ascii="Arial Narrow" w:eastAsia="Times New Roman" w:hAnsi="Arial Narrow" w:cs="Arial"/>
                <w:sz w:val="24"/>
                <w:szCs w:val="24"/>
                <w:lang w:val="es-MX" w:eastAsia="es-MX"/>
              </w:rPr>
            </w:pPr>
            <w:r w:rsidRPr="00CD728B">
              <w:rPr>
                <w:rFonts w:ascii="Arial Narrow" w:hAnsi="Arial Narrow"/>
                <w:sz w:val="24"/>
                <w:szCs w:val="24"/>
              </w:rPr>
              <w:t>81.81</w:t>
            </w:r>
          </w:p>
        </w:tc>
        <w:tc>
          <w:tcPr>
            <w:tcW w:w="1427" w:type="dxa"/>
            <w:tcBorders>
              <w:top w:val="nil"/>
              <w:left w:val="nil"/>
              <w:bottom w:val="single" w:sz="8" w:space="0" w:color="auto"/>
              <w:right w:val="single" w:sz="8" w:space="0" w:color="auto"/>
            </w:tcBorders>
            <w:shd w:val="clear" w:color="auto" w:fill="auto"/>
            <w:noWrap/>
            <w:hideMark/>
          </w:tcPr>
          <w:p w:rsidR="00AF69FA" w:rsidRPr="00CD728B" w:rsidRDefault="00AF69FA" w:rsidP="00EE5F08">
            <w:pPr>
              <w:spacing w:before="100" w:beforeAutospacing="1" w:after="100" w:afterAutospacing="1" w:line="360" w:lineRule="auto"/>
              <w:contextualSpacing/>
              <w:jc w:val="center"/>
              <w:rPr>
                <w:rFonts w:ascii="Arial Narrow" w:eastAsia="Times New Roman" w:hAnsi="Arial Narrow" w:cs="Arial"/>
                <w:sz w:val="24"/>
                <w:szCs w:val="24"/>
                <w:lang w:val="es-MX" w:eastAsia="es-MX"/>
              </w:rPr>
            </w:pPr>
            <w:r w:rsidRPr="00CD728B">
              <w:rPr>
                <w:rFonts w:ascii="Arial Narrow" w:hAnsi="Arial Narrow"/>
                <w:sz w:val="24"/>
                <w:szCs w:val="24"/>
              </w:rPr>
              <w:t>83.42</w:t>
            </w:r>
          </w:p>
        </w:tc>
        <w:tc>
          <w:tcPr>
            <w:tcW w:w="1114" w:type="dxa"/>
            <w:tcBorders>
              <w:top w:val="nil"/>
              <w:left w:val="nil"/>
              <w:bottom w:val="single" w:sz="8" w:space="0" w:color="auto"/>
              <w:right w:val="single" w:sz="8" w:space="0" w:color="auto"/>
            </w:tcBorders>
            <w:shd w:val="clear" w:color="auto" w:fill="auto"/>
            <w:noWrap/>
            <w:hideMark/>
          </w:tcPr>
          <w:p w:rsidR="00AF69FA" w:rsidRPr="00CD728B" w:rsidRDefault="00AF69FA" w:rsidP="00EE5F08">
            <w:pPr>
              <w:spacing w:before="100" w:beforeAutospacing="1" w:after="100" w:afterAutospacing="1" w:line="360" w:lineRule="auto"/>
              <w:contextualSpacing/>
              <w:jc w:val="center"/>
              <w:rPr>
                <w:rFonts w:ascii="Arial Narrow" w:eastAsia="Times New Roman" w:hAnsi="Arial Narrow" w:cs="Arial"/>
                <w:sz w:val="24"/>
                <w:szCs w:val="24"/>
                <w:lang w:val="es-MX" w:eastAsia="es-MX"/>
              </w:rPr>
            </w:pPr>
            <w:r w:rsidRPr="00CD728B">
              <w:rPr>
                <w:rFonts w:ascii="Arial Narrow" w:hAnsi="Arial Narrow"/>
                <w:sz w:val="24"/>
                <w:szCs w:val="24"/>
              </w:rPr>
              <w:t>80.20</w:t>
            </w:r>
          </w:p>
        </w:tc>
      </w:tr>
      <w:tr w:rsidR="00AF69FA" w:rsidRPr="00CD728B" w:rsidTr="006C722A">
        <w:trPr>
          <w:trHeight w:val="345"/>
          <w:jc w:val="center"/>
        </w:trPr>
        <w:tc>
          <w:tcPr>
            <w:tcW w:w="3745" w:type="dxa"/>
            <w:tcBorders>
              <w:top w:val="nil"/>
              <w:left w:val="single" w:sz="8" w:space="0" w:color="auto"/>
              <w:bottom w:val="single" w:sz="8" w:space="0" w:color="auto"/>
              <w:right w:val="single" w:sz="8" w:space="0" w:color="auto"/>
            </w:tcBorders>
            <w:shd w:val="clear" w:color="auto" w:fill="auto"/>
            <w:noWrap/>
            <w:hideMark/>
          </w:tcPr>
          <w:p w:rsidR="00AF69FA" w:rsidRPr="00CD728B" w:rsidRDefault="00AF69FA" w:rsidP="002E7D47">
            <w:pPr>
              <w:spacing w:before="100" w:beforeAutospacing="1" w:after="100" w:afterAutospacing="1" w:line="360" w:lineRule="auto"/>
              <w:contextualSpacing/>
              <w:jc w:val="both"/>
              <w:rPr>
                <w:rFonts w:ascii="Arial Narrow" w:eastAsia="Times New Roman" w:hAnsi="Arial Narrow" w:cs="Arial"/>
                <w:sz w:val="24"/>
                <w:szCs w:val="24"/>
                <w:lang w:val="es-MX" w:eastAsia="es-MX"/>
              </w:rPr>
            </w:pPr>
            <w:r w:rsidRPr="00CD728B">
              <w:rPr>
                <w:rFonts w:ascii="Arial Narrow" w:hAnsi="Arial Narrow"/>
                <w:sz w:val="24"/>
                <w:szCs w:val="24"/>
              </w:rPr>
              <w:t>Fideicomiso Educación Garantizada del Distrito Federal</w:t>
            </w:r>
          </w:p>
        </w:tc>
        <w:tc>
          <w:tcPr>
            <w:tcW w:w="1065" w:type="dxa"/>
            <w:tcBorders>
              <w:top w:val="nil"/>
              <w:left w:val="nil"/>
              <w:bottom w:val="single" w:sz="8" w:space="0" w:color="auto"/>
              <w:right w:val="single" w:sz="8" w:space="0" w:color="auto"/>
            </w:tcBorders>
            <w:shd w:val="clear" w:color="auto" w:fill="C9C9C9" w:themeFill="accent3" w:themeFillTint="99"/>
            <w:noWrap/>
            <w:hideMark/>
          </w:tcPr>
          <w:p w:rsidR="00AF69FA" w:rsidRPr="00CD728B" w:rsidRDefault="00AF69FA" w:rsidP="00EE5F08">
            <w:pPr>
              <w:spacing w:before="100" w:beforeAutospacing="1" w:after="100" w:afterAutospacing="1" w:line="360" w:lineRule="auto"/>
              <w:contextualSpacing/>
              <w:jc w:val="center"/>
              <w:rPr>
                <w:rFonts w:ascii="Arial Narrow" w:eastAsia="Times New Roman" w:hAnsi="Arial Narrow" w:cs="Arial"/>
                <w:sz w:val="24"/>
                <w:szCs w:val="24"/>
                <w:lang w:val="es-MX" w:eastAsia="es-MX"/>
              </w:rPr>
            </w:pPr>
            <w:r w:rsidRPr="00CD728B">
              <w:rPr>
                <w:rFonts w:ascii="Arial Narrow" w:hAnsi="Arial Narrow"/>
                <w:sz w:val="24"/>
                <w:szCs w:val="24"/>
              </w:rPr>
              <w:t>79.44</w:t>
            </w:r>
          </w:p>
        </w:tc>
        <w:tc>
          <w:tcPr>
            <w:tcW w:w="1427" w:type="dxa"/>
            <w:tcBorders>
              <w:top w:val="nil"/>
              <w:left w:val="nil"/>
              <w:bottom w:val="single" w:sz="8" w:space="0" w:color="auto"/>
              <w:right w:val="single" w:sz="8" w:space="0" w:color="auto"/>
            </w:tcBorders>
            <w:shd w:val="clear" w:color="auto" w:fill="auto"/>
            <w:noWrap/>
            <w:hideMark/>
          </w:tcPr>
          <w:p w:rsidR="00AF69FA" w:rsidRPr="00CD728B" w:rsidRDefault="00AF69FA" w:rsidP="00EE5F08">
            <w:pPr>
              <w:spacing w:before="100" w:beforeAutospacing="1" w:after="100" w:afterAutospacing="1" w:line="360" w:lineRule="auto"/>
              <w:contextualSpacing/>
              <w:jc w:val="center"/>
              <w:rPr>
                <w:rFonts w:ascii="Arial Narrow" w:eastAsia="Times New Roman" w:hAnsi="Arial Narrow" w:cs="Arial"/>
                <w:sz w:val="24"/>
                <w:szCs w:val="24"/>
                <w:lang w:val="es-MX" w:eastAsia="es-MX"/>
              </w:rPr>
            </w:pPr>
            <w:r w:rsidRPr="00CD728B">
              <w:rPr>
                <w:rFonts w:ascii="Arial Narrow" w:hAnsi="Arial Narrow"/>
                <w:sz w:val="24"/>
                <w:szCs w:val="24"/>
              </w:rPr>
              <w:t>71.29</w:t>
            </w:r>
          </w:p>
        </w:tc>
        <w:tc>
          <w:tcPr>
            <w:tcW w:w="1114" w:type="dxa"/>
            <w:tcBorders>
              <w:top w:val="nil"/>
              <w:left w:val="nil"/>
              <w:bottom w:val="single" w:sz="8" w:space="0" w:color="auto"/>
              <w:right w:val="single" w:sz="8" w:space="0" w:color="auto"/>
            </w:tcBorders>
            <w:shd w:val="clear" w:color="auto" w:fill="auto"/>
            <w:noWrap/>
            <w:hideMark/>
          </w:tcPr>
          <w:p w:rsidR="00AF69FA" w:rsidRPr="00CD728B" w:rsidRDefault="00AF69FA" w:rsidP="00EE5F08">
            <w:pPr>
              <w:spacing w:before="100" w:beforeAutospacing="1" w:after="100" w:afterAutospacing="1" w:line="360" w:lineRule="auto"/>
              <w:contextualSpacing/>
              <w:jc w:val="center"/>
              <w:rPr>
                <w:rFonts w:ascii="Arial Narrow" w:eastAsia="Times New Roman" w:hAnsi="Arial Narrow" w:cs="Arial"/>
                <w:sz w:val="24"/>
                <w:szCs w:val="24"/>
                <w:lang w:val="es-MX" w:eastAsia="es-MX"/>
              </w:rPr>
            </w:pPr>
            <w:r w:rsidRPr="00CD728B">
              <w:rPr>
                <w:rFonts w:ascii="Arial Narrow" w:hAnsi="Arial Narrow"/>
                <w:sz w:val="24"/>
                <w:szCs w:val="24"/>
              </w:rPr>
              <w:t>87.58</w:t>
            </w:r>
          </w:p>
        </w:tc>
      </w:tr>
      <w:tr w:rsidR="00AF69FA" w:rsidRPr="00CD728B" w:rsidTr="006C722A">
        <w:trPr>
          <w:trHeight w:val="345"/>
          <w:jc w:val="center"/>
        </w:trPr>
        <w:tc>
          <w:tcPr>
            <w:tcW w:w="3745" w:type="dxa"/>
            <w:tcBorders>
              <w:top w:val="nil"/>
              <w:left w:val="single" w:sz="8" w:space="0" w:color="auto"/>
              <w:bottom w:val="single" w:sz="8" w:space="0" w:color="auto"/>
              <w:right w:val="single" w:sz="8" w:space="0" w:color="auto"/>
            </w:tcBorders>
            <w:shd w:val="clear" w:color="auto" w:fill="auto"/>
            <w:noWrap/>
            <w:hideMark/>
          </w:tcPr>
          <w:p w:rsidR="00AF69FA" w:rsidRPr="00CD728B" w:rsidRDefault="00AF69FA" w:rsidP="002E7D47">
            <w:pPr>
              <w:spacing w:before="100" w:beforeAutospacing="1" w:after="100" w:afterAutospacing="1" w:line="360" w:lineRule="auto"/>
              <w:contextualSpacing/>
              <w:jc w:val="both"/>
              <w:rPr>
                <w:rFonts w:ascii="Arial Narrow" w:eastAsia="Times New Roman" w:hAnsi="Arial Narrow" w:cs="Arial"/>
                <w:sz w:val="24"/>
                <w:szCs w:val="24"/>
                <w:lang w:val="es-MX" w:eastAsia="es-MX"/>
              </w:rPr>
            </w:pPr>
            <w:r w:rsidRPr="00CD728B">
              <w:rPr>
                <w:rFonts w:ascii="Arial Narrow" w:hAnsi="Arial Narrow"/>
                <w:sz w:val="24"/>
                <w:szCs w:val="24"/>
              </w:rPr>
              <w:t>Fideicomiso Museo del Estanquillo</w:t>
            </w:r>
          </w:p>
        </w:tc>
        <w:tc>
          <w:tcPr>
            <w:tcW w:w="1065" w:type="dxa"/>
            <w:tcBorders>
              <w:top w:val="nil"/>
              <w:left w:val="nil"/>
              <w:bottom w:val="single" w:sz="8" w:space="0" w:color="auto"/>
              <w:right w:val="single" w:sz="8" w:space="0" w:color="auto"/>
            </w:tcBorders>
            <w:shd w:val="clear" w:color="auto" w:fill="C9C9C9" w:themeFill="accent3" w:themeFillTint="99"/>
            <w:noWrap/>
            <w:hideMark/>
          </w:tcPr>
          <w:p w:rsidR="00AF69FA" w:rsidRPr="00CD728B" w:rsidRDefault="00AF69FA" w:rsidP="00EE5F08">
            <w:pPr>
              <w:spacing w:before="100" w:beforeAutospacing="1" w:after="100" w:afterAutospacing="1" w:line="360" w:lineRule="auto"/>
              <w:contextualSpacing/>
              <w:jc w:val="center"/>
              <w:rPr>
                <w:rFonts w:ascii="Arial Narrow" w:eastAsia="Times New Roman" w:hAnsi="Arial Narrow" w:cs="Arial"/>
                <w:sz w:val="24"/>
                <w:szCs w:val="24"/>
                <w:lang w:val="es-MX" w:eastAsia="es-MX"/>
              </w:rPr>
            </w:pPr>
            <w:r w:rsidRPr="00CD728B">
              <w:rPr>
                <w:rFonts w:ascii="Arial Narrow" w:hAnsi="Arial Narrow"/>
                <w:sz w:val="24"/>
                <w:szCs w:val="24"/>
              </w:rPr>
              <w:t>78.19</w:t>
            </w:r>
          </w:p>
        </w:tc>
        <w:tc>
          <w:tcPr>
            <w:tcW w:w="1427" w:type="dxa"/>
            <w:tcBorders>
              <w:top w:val="nil"/>
              <w:left w:val="nil"/>
              <w:bottom w:val="single" w:sz="8" w:space="0" w:color="auto"/>
              <w:right w:val="single" w:sz="8" w:space="0" w:color="auto"/>
            </w:tcBorders>
            <w:shd w:val="clear" w:color="auto" w:fill="auto"/>
            <w:noWrap/>
            <w:hideMark/>
          </w:tcPr>
          <w:p w:rsidR="00AF69FA" w:rsidRPr="00CD728B" w:rsidRDefault="00AF69FA" w:rsidP="00EE5F08">
            <w:pPr>
              <w:spacing w:before="100" w:beforeAutospacing="1" w:after="100" w:afterAutospacing="1" w:line="360" w:lineRule="auto"/>
              <w:contextualSpacing/>
              <w:jc w:val="center"/>
              <w:rPr>
                <w:rFonts w:ascii="Arial Narrow" w:eastAsia="Times New Roman" w:hAnsi="Arial Narrow" w:cs="Arial"/>
                <w:sz w:val="24"/>
                <w:szCs w:val="24"/>
                <w:lang w:val="es-MX" w:eastAsia="es-MX"/>
              </w:rPr>
            </w:pPr>
            <w:r w:rsidRPr="00CD728B">
              <w:rPr>
                <w:rFonts w:ascii="Arial Narrow" w:hAnsi="Arial Narrow"/>
                <w:sz w:val="24"/>
                <w:szCs w:val="24"/>
              </w:rPr>
              <w:t>85.94</w:t>
            </w:r>
          </w:p>
        </w:tc>
        <w:tc>
          <w:tcPr>
            <w:tcW w:w="1114" w:type="dxa"/>
            <w:tcBorders>
              <w:top w:val="nil"/>
              <w:left w:val="nil"/>
              <w:bottom w:val="single" w:sz="8" w:space="0" w:color="auto"/>
              <w:right w:val="single" w:sz="8" w:space="0" w:color="auto"/>
            </w:tcBorders>
            <w:shd w:val="clear" w:color="auto" w:fill="auto"/>
            <w:noWrap/>
            <w:hideMark/>
          </w:tcPr>
          <w:p w:rsidR="00AF69FA" w:rsidRPr="00CD728B" w:rsidRDefault="00AF69FA" w:rsidP="00EE5F08">
            <w:pPr>
              <w:spacing w:before="100" w:beforeAutospacing="1" w:after="100" w:afterAutospacing="1" w:line="360" w:lineRule="auto"/>
              <w:contextualSpacing/>
              <w:jc w:val="center"/>
              <w:rPr>
                <w:rFonts w:ascii="Arial Narrow" w:eastAsia="Times New Roman" w:hAnsi="Arial Narrow" w:cs="Arial"/>
                <w:sz w:val="24"/>
                <w:szCs w:val="24"/>
                <w:lang w:val="es-MX" w:eastAsia="es-MX"/>
              </w:rPr>
            </w:pPr>
            <w:r w:rsidRPr="00CD728B">
              <w:rPr>
                <w:rFonts w:ascii="Arial Narrow" w:hAnsi="Arial Narrow"/>
                <w:sz w:val="24"/>
                <w:szCs w:val="24"/>
              </w:rPr>
              <w:t>70.45</w:t>
            </w:r>
          </w:p>
        </w:tc>
      </w:tr>
      <w:tr w:rsidR="00AF69FA" w:rsidRPr="00CD728B" w:rsidTr="006C722A">
        <w:trPr>
          <w:trHeight w:val="345"/>
          <w:jc w:val="center"/>
        </w:trPr>
        <w:tc>
          <w:tcPr>
            <w:tcW w:w="3745" w:type="dxa"/>
            <w:tcBorders>
              <w:top w:val="nil"/>
              <w:left w:val="single" w:sz="8" w:space="0" w:color="auto"/>
              <w:bottom w:val="single" w:sz="8" w:space="0" w:color="auto"/>
              <w:right w:val="single" w:sz="8" w:space="0" w:color="auto"/>
            </w:tcBorders>
            <w:shd w:val="clear" w:color="auto" w:fill="auto"/>
            <w:noWrap/>
            <w:hideMark/>
          </w:tcPr>
          <w:p w:rsidR="00AF69FA" w:rsidRPr="00CD728B" w:rsidRDefault="00AF69FA" w:rsidP="002E7D47">
            <w:pPr>
              <w:spacing w:before="100" w:beforeAutospacing="1" w:after="100" w:afterAutospacing="1" w:line="360" w:lineRule="auto"/>
              <w:contextualSpacing/>
              <w:jc w:val="both"/>
              <w:rPr>
                <w:rFonts w:ascii="Arial Narrow" w:eastAsia="Times New Roman" w:hAnsi="Arial Narrow" w:cs="Arial"/>
                <w:sz w:val="24"/>
                <w:szCs w:val="24"/>
                <w:lang w:val="es-MX" w:eastAsia="es-MX"/>
              </w:rPr>
            </w:pPr>
            <w:r w:rsidRPr="00CD728B">
              <w:rPr>
                <w:rFonts w:ascii="Arial Narrow" w:hAnsi="Arial Narrow"/>
                <w:sz w:val="24"/>
                <w:szCs w:val="24"/>
              </w:rPr>
              <w:t>Fideicomiso Museo de Arte Popular Mexicano</w:t>
            </w:r>
          </w:p>
        </w:tc>
        <w:tc>
          <w:tcPr>
            <w:tcW w:w="1065" w:type="dxa"/>
            <w:tcBorders>
              <w:top w:val="nil"/>
              <w:left w:val="nil"/>
              <w:bottom w:val="single" w:sz="8" w:space="0" w:color="auto"/>
              <w:right w:val="single" w:sz="8" w:space="0" w:color="auto"/>
            </w:tcBorders>
            <w:shd w:val="clear" w:color="auto" w:fill="C9C9C9" w:themeFill="accent3" w:themeFillTint="99"/>
            <w:noWrap/>
            <w:hideMark/>
          </w:tcPr>
          <w:p w:rsidR="00AF69FA" w:rsidRPr="00CD728B" w:rsidRDefault="00AF69FA" w:rsidP="00EE5F08">
            <w:pPr>
              <w:spacing w:before="100" w:beforeAutospacing="1" w:after="100" w:afterAutospacing="1" w:line="360" w:lineRule="auto"/>
              <w:contextualSpacing/>
              <w:jc w:val="center"/>
              <w:rPr>
                <w:rFonts w:ascii="Arial Narrow" w:eastAsia="Times New Roman" w:hAnsi="Arial Narrow" w:cs="Arial"/>
                <w:sz w:val="24"/>
                <w:szCs w:val="24"/>
                <w:lang w:val="es-MX" w:eastAsia="es-MX"/>
              </w:rPr>
            </w:pPr>
            <w:r w:rsidRPr="00CD728B">
              <w:rPr>
                <w:rFonts w:ascii="Arial Narrow" w:hAnsi="Arial Narrow"/>
                <w:sz w:val="24"/>
                <w:szCs w:val="24"/>
              </w:rPr>
              <w:t>76.28</w:t>
            </w:r>
          </w:p>
        </w:tc>
        <w:tc>
          <w:tcPr>
            <w:tcW w:w="1427" w:type="dxa"/>
            <w:tcBorders>
              <w:top w:val="nil"/>
              <w:left w:val="nil"/>
              <w:bottom w:val="single" w:sz="8" w:space="0" w:color="auto"/>
              <w:right w:val="single" w:sz="8" w:space="0" w:color="auto"/>
            </w:tcBorders>
            <w:shd w:val="clear" w:color="auto" w:fill="auto"/>
            <w:noWrap/>
            <w:hideMark/>
          </w:tcPr>
          <w:p w:rsidR="00AF69FA" w:rsidRPr="00CD728B" w:rsidRDefault="00AF69FA" w:rsidP="00EE5F08">
            <w:pPr>
              <w:spacing w:before="100" w:beforeAutospacing="1" w:after="100" w:afterAutospacing="1" w:line="360" w:lineRule="auto"/>
              <w:contextualSpacing/>
              <w:jc w:val="center"/>
              <w:rPr>
                <w:rFonts w:ascii="Arial Narrow" w:eastAsia="Times New Roman" w:hAnsi="Arial Narrow" w:cs="Arial"/>
                <w:sz w:val="24"/>
                <w:szCs w:val="24"/>
                <w:lang w:val="es-MX" w:eastAsia="es-MX"/>
              </w:rPr>
            </w:pPr>
            <w:r w:rsidRPr="00CD728B">
              <w:rPr>
                <w:rFonts w:ascii="Arial Narrow" w:hAnsi="Arial Narrow"/>
                <w:sz w:val="24"/>
                <w:szCs w:val="24"/>
              </w:rPr>
              <w:t>94.43</w:t>
            </w:r>
          </w:p>
        </w:tc>
        <w:tc>
          <w:tcPr>
            <w:tcW w:w="1114" w:type="dxa"/>
            <w:tcBorders>
              <w:top w:val="nil"/>
              <w:left w:val="nil"/>
              <w:bottom w:val="single" w:sz="8" w:space="0" w:color="auto"/>
              <w:right w:val="single" w:sz="8" w:space="0" w:color="auto"/>
            </w:tcBorders>
            <w:shd w:val="clear" w:color="auto" w:fill="auto"/>
            <w:noWrap/>
            <w:hideMark/>
          </w:tcPr>
          <w:p w:rsidR="00AF69FA" w:rsidRPr="00CD728B" w:rsidRDefault="00AF69FA" w:rsidP="00EE5F08">
            <w:pPr>
              <w:spacing w:before="100" w:beforeAutospacing="1" w:after="100" w:afterAutospacing="1" w:line="360" w:lineRule="auto"/>
              <w:contextualSpacing/>
              <w:jc w:val="center"/>
              <w:rPr>
                <w:rFonts w:ascii="Arial Narrow" w:eastAsia="Times New Roman" w:hAnsi="Arial Narrow" w:cs="Arial"/>
                <w:sz w:val="24"/>
                <w:szCs w:val="24"/>
                <w:lang w:val="es-MX" w:eastAsia="es-MX"/>
              </w:rPr>
            </w:pPr>
            <w:r w:rsidRPr="00CD728B">
              <w:rPr>
                <w:rFonts w:ascii="Arial Narrow" w:hAnsi="Arial Narrow"/>
                <w:sz w:val="24"/>
                <w:szCs w:val="24"/>
              </w:rPr>
              <w:t>58.13</w:t>
            </w:r>
          </w:p>
        </w:tc>
      </w:tr>
      <w:tr w:rsidR="00AF69FA" w:rsidRPr="00CD728B" w:rsidTr="006C722A">
        <w:trPr>
          <w:trHeight w:val="345"/>
          <w:jc w:val="center"/>
        </w:trPr>
        <w:tc>
          <w:tcPr>
            <w:tcW w:w="3745" w:type="dxa"/>
            <w:tcBorders>
              <w:top w:val="nil"/>
              <w:left w:val="single" w:sz="8" w:space="0" w:color="auto"/>
              <w:bottom w:val="single" w:sz="8" w:space="0" w:color="auto"/>
              <w:right w:val="single" w:sz="8" w:space="0" w:color="auto"/>
            </w:tcBorders>
            <w:shd w:val="clear" w:color="auto" w:fill="auto"/>
            <w:noWrap/>
            <w:hideMark/>
          </w:tcPr>
          <w:p w:rsidR="00AF69FA" w:rsidRPr="00CD728B" w:rsidRDefault="00AF69FA" w:rsidP="002E7D47">
            <w:pPr>
              <w:spacing w:before="100" w:beforeAutospacing="1" w:after="100" w:afterAutospacing="1" w:line="360" w:lineRule="auto"/>
              <w:contextualSpacing/>
              <w:jc w:val="both"/>
              <w:rPr>
                <w:rFonts w:ascii="Arial Narrow" w:eastAsia="Times New Roman" w:hAnsi="Arial Narrow" w:cs="Arial"/>
                <w:sz w:val="24"/>
                <w:szCs w:val="24"/>
                <w:lang w:val="es-MX" w:eastAsia="es-MX"/>
              </w:rPr>
            </w:pPr>
            <w:r w:rsidRPr="00CD728B">
              <w:rPr>
                <w:rFonts w:ascii="Arial Narrow" w:hAnsi="Arial Narrow"/>
                <w:sz w:val="24"/>
                <w:szCs w:val="24"/>
              </w:rPr>
              <w:t>Fondo Ambiental Público del Distrito Federal</w:t>
            </w:r>
          </w:p>
        </w:tc>
        <w:tc>
          <w:tcPr>
            <w:tcW w:w="1065" w:type="dxa"/>
            <w:tcBorders>
              <w:top w:val="nil"/>
              <w:left w:val="nil"/>
              <w:bottom w:val="single" w:sz="8" w:space="0" w:color="auto"/>
              <w:right w:val="single" w:sz="8" w:space="0" w:color="auto"/>
            </w:tcBorders>
            <w:shd w:val="clear" w:color="auto" w:fill="C9C9C9" w:themeFill="accent3" w:themeFillTint="99"/>
            <w:noWrap/>
            <w:hideMark/>
          </w:tcPr>
          <w:p w:rsidR="00AF69FA" w:rsidRPr="00CD728B" w:rsidRDefault="00AF69FA" w:rsidP="00EE5F08">
            <w:pPr>
              <w:spacing w:before="100" w:beforeAutospacing="1" w:after="100" w:afterAutospacing="1" w:line="360" w:lineRule="auto"/>
              <w:contextualSpacing/>
              <w:jc w:val="center"/>
              <w:rPr>
                <w:rFonts w:ascii="Arial Narrow" w:eastAsia="Times New Roman" w:hAnsi="Arial Narrow" w:cs="Arial"/>
                <w:sz w:val="24"/>
                <w:szCs w:val="24"/>
                <w:lang w:val="es-MX" w:eastAsia="es-MX"/>
              </w:rPr>
            </w:pPr>
            <w:r w:rsidRPr="00CD728B">
              <w:rPr>
                <w:rFonts w:ascii="Arial Narrow" w:hAnsi="Arial Narrow"/>
                <w:sz w:val="24"/>
                <w:szCs w:val="24"/>
              </w:rPr>
              <w:t>75.85</w:t>
            </w:r>
          </w:p>
        </w:tc>
        <w:tc>
          <w:tcPr>
            <w:tcW w:w="1427" w:type="dxa"/>
            <w:tcBorders>
              <w:top w:val="nil"/>
              <w:left w:val="nil"/>
              <w:bottom w:val="single" w:sz="8" w:space="0" w:color="auto"/>
              <w:right w:val="single" w:sz="8" w:space="0" w:color="auto"/>
            </w:tcBorders>
            <w:shd w:val="clear" w:color="auto" w:fill="auto"/>
            <w:noWrap/>
            <w:hideMark/>
          </w:tcPr>
          <w:p w:rsidR="00AF69FA" w:rsidRPr="00CD728B" w:rsidRDefault="00AF69FA" w:rsidP="00EE5F08">
            <w:pPr>
              <w:spacing w:before="100" w:beforeAutospacing="1" w:after="100" w:afterAutospacing="1" w:line="360" w:lineRule="auto"/>
              <w:contextualSpacing/>
              <w:jc w:val="center"/>
              <w:rPr>
                <w:rFonts w:ascii="Arial Narrow" w:eastAsia="Times New Roman" w:hAnsi="Arial Narrow" w:cs="Arial"/>
                <w:sz w:val="24"/>
                <w:szCs w:val="24"/>
                <w:lang w:val="es-MX" w:eastAsia="es-MX"/>
              </w:rPr>
            </w:pPr>
            <w:r w:rsidRPr="00CD728B">
              <w:rPr>
                <w:rFonts w:ascii="Arial Narrow" w:hAnsi="Arial Narrow"/>
                <w:sz w:val="24"/>
                <w:szCs w:val="24"/>
              </w:rPr>
              <w:t>75.80</w:t>
            </w:r>
          </w:p>
        </w:tc>
        <w:tc>
          <w:tcPr>
            <w:tcW w:w="1114" w:type="dxa"/>
            <w:tcBorders>
              <w:top w:val="nil"/>
              <w:left w:val="nil"/>
              <w:bottom w:val="single" w:sz="8" w:space="0" w:color="auto"/>
              <w:right w:val="single" w:sz="8" w:space="0" w:color="auto"/>
            </w:tcBorders>
            <w:shd w:val="clear" w:color="auto" w:fill="auto"/>
            <w:noWrap/>
            <w:hideMark/>
          </w:tcPr>
          <w:p w:rsidR="00AF69FA" w:rsidRPr="00CD728B" w:rsidRDefault="00AF69FA" w:rsidP="00EE5F08">
            <w:pPr>
              <w:spacing w:before="100" w:beforeAutospacing="1" w:after="100" w:afterAutospacing="1" w:line="360" w:lineRule="auto"/>
              <w:contextualSpacing/>
              <w:jc w:val="center"/>
              <w:rPr>
                <w:rFonts w:ascii="Arial Narrow" w:eastAsia="Times New Roman" w:hAnsi="Arial Narrow" w:cs="Arial"/>
                <w:sz w:val="24"/>
                <w:szCs w:val="24"/>
                <w:lang w:val="es-MX" w:eastAsia="es-MX"/>
              </w:rPr>
            </w:pPr>
            <w:r w:rsidRPr="00CD728B">
              <w:rPr>
                <w:rFonts w:ascii="Arial Narrow" w:hAnsi="Arial Narrow"/>
                <w:sz w:val="24"/>
                <w:szCs w:val="24"/>
              </w:rPr>
              <w:t>75.90</w:t>
            </w:r>
          </w:p>
        </w:tc>
      </w:tr>
      <w:tr w:rsidR="00AF69FA" w:rsidRPr="00CD728B" w:rsidTr="006C722A">
        <w:trPr>
          <w:trHeight w:val="345"/>
          <w:jc w:val="center"/>
        </w:trPr>
        <w:tc>
          <w:tcPr>
            <w:tcW w:w="3745" w:type="dxa"/>
            <w:tcBorders>
              <w:top w:val="nil"/>
              <w:left w:val="single" w:sz="8" w:space="0" w:color="auto"/>
              <w:bottom w:val="single" w:sz="8" w:space="0" w:color="auto"/>
              <w:right w:val="single" w:sz="8" w:space="0" w:color="auto"/>
            </w:tcBorders>
            <w:shd w:val="clear" w:color="auto" w:fill="auto"/>
            <w:noWrap/>
            <w:hideMark/>
          </w:tcPr>
          <w:p w:rsidR="00AF69FA" w:rsidRPr="00CD728B" w:rsidRDefault="00AF69FA" w:rsidP="002E7D47">
            <w:pPr>
              <w:spacing w:before="100" w:beforeAutospacing="1" w:after="100" w:afterAutospacing="1" w:line="360" w:lineRule="auto"/>
              <w:contextualSpacing/>
              <w:jc w:val="both"/>
              <w:rPr>
                <w:rFonts w:ascii="Arial Narrow" w:eastAsia="Times New Roman" w:hAnsi="Arial Narrow" w:cs="Arial"/>
                <w:sz w:val="24"/>
                <w:szCs w:val="24"/>
                <w:lang w:val="es-MX" w:eastAsia="es-MX"/>
              </w:rPr>
            </w:pPr>
            <w:r w:rsidRPr="00CD728B">
              <w:rPr>
                <w:rFonts w:ascii="Arial Narrow" w:hAnsi="Arial Narrow"/>
                <w:sz w:val="24"/>
                <w:szCs w:val="24"/>
              </w:rPr>
              <w:lastRenderedPageBreak/>
              <w:t>Fideicomiso Público de la Zona de Santa Fe</w:t>
            </w:r>
          </w:p>
        </w:tc>
        <w:tc>
          <w:tcPr>
            <w:tcW w:w="1065" w:type="dxa"/>
            <w:tcBorders>
              <w:top w:val="nil"/>
              <w:left w:val="nil"/>
              <w:bottom w:val="single" w:sz="8" w:space="0" w:color="auto"/>
              <w:right w:val="single" w:sz="8" w:space="0" w:color="auto"/>
            </w:tcBorders>
            <w:shd w:val="clear" w:color="auto" w:fill="C9C9C9" w:themeFill="accent3" w:themeFillTint="99"/>
            <w:noWrap/>
            <w:hideMark/>
          </w:tcPr>
          <w:p w:rsidR="00AF69FA" w:rsidRPr="00CD728B" w:rsidRDefault="00AF69FA" w:rsidP="00EE5F08">
            <w:pPr>
              <w:spacing w:before="100" w:beforeAutospacing="1" w:after="100" w:afterAutospacing="1" w:line="360" w:lineRule="auto"/>
              <w:contextualSpacing/>
              <w:jc w:val="center"/>
              <w:rPr>
                <w:rFonts w:ascii="Arial Narrow" w:eastAsia="Times New Roman" w:hAnsi="Arial Narrow" w:cs="Arial"/>
                <w:sz w:val="24"/>
                <w:szCs w:val="24"/>
                <w:lang w:val="es-MX" w:eastAsia="es-MX"/>
              </w:rPr>
            </w:pPr>
            <w:r w:rsidRPr="00CD728B">
              <w:rPr>
                <w:rFonts w:ascii="Arial Narrow" w:hAnsi="Arial Narrow"/>
                <w:sz w:val="24"/>
                <w:szCs w:val="24"/>
              </w:rPr>
              <w:t>64.48</w:t>
            </w:r>
          </w:p>
        </w:tc>
        <w:tc>
          <w:tcPr>
            <w:tcW w:w="1427" w:type="dxa"/>
            <w:tcBorders>
              <w:top w:val="nil"/>
              <w:left w:val="nil"/>
              <w:bottom w:val="single" w:sz="8" w:space="0" w:color="auto"/>
              <w:right w:val="single" w:sz="8" w:space="0" w:color="auto"/>
            </w:tcBorders>
            <w:shd w:val="clear" w:color="auto" w:fill="auto"/>
            <w:noWrap/>
            <w:hideMark/>
          </w:tcPr>
          <w:p w:rsidR="00AF69FA" w:rsidRPr="00CD728B" w:rsidRDefault="00AF69FA" w:rsidP="00EE5F08">
            <w:pPr>
              <w:spacing w:before="100" w:beforeAutospacing="1" w:after="100" w:afterAutospacing="1" w:line="360" w:lineRule="auto"/>
              <w:contextualSpacing/>
              <w:jc w:val="center"/>
              <w:rPr>
                <w:rFonts w:ascii="Arial Narrow" w:eastAsia="Times New Roman" w:hAnsi="Arial Narrow" w:cs="Arial"/>
                <w:sz w:val="24"/>
                <w:szCs w:val="24"/>
                <w:lang w:val="es-MX" w:eastAsia="es-MX"/>
              </w:rPr>
            </w:pPr>
            <w:r w:rsidRPr="00CD728B">
              <w:rPr>
                <w:rFonts w:ascii="Arial Narrow" w:hAnsi="Arial Narrow"/>
                <w:sz w:val="24"/>
                <w:szCs w:val="24"/>
              </w:rPr>
              <w:t>56.46</w:t>
            </w:r>
          </w:p>
        </w:tc>
        <w:tc>
          <w:tcPr>
            <w:tcW w:w="1114" w:type="dxa"/>
            <w:tcBorders>
              <w:top w:val="nil"/>
              <w:left w:val="nil"/>
              <w:bottom w:val="single" w:sz="8" w:space="0" w:color="auto"/>
              <w:right w:val="single" w:sz="8" w:space="0" w:color="auto"/>
            </w:tcBorders>
            <w:shd w:val="clear" w:color="auto" w:fill="auto"/>
            <w:noWrap/>
            <w:hideMark/>
          </w:tcPr>
          <w:p w:rsidR="00AF69FA" w:rsidRPr="00CD728B" w:rsidRDefault="00AF69FA" w:rsidP="00EE5F08">
            <w:pPr>
              <w:spacing w:before="100" w:beforeAutospacing="1" w:after="100" w:afterAutospacing="1" w:line="360" w:lineRule="auto"/>
              <w:contextualSpacing/>
              <w:jc w:val="center"/>
              <w:rPr>
                <w:rFonts w:ascii="Arial Narrow" w:eastAsia="Times New Roman" w:hAnsi="Arial Narrow" w:cs="Arial"/>
                <w:sz w:val="24"/>
                <w:szCs w:val="24"/>
                <w:lang w:val="es-MX" w:eastAsia="es-MX"/>
              </w:rPr>
            </w:pPr>
            <w:r w:rsidRPr="00CD728B">
              <w:rPr>
                <w:rFonts w:ascii="Arial Narrow" w:hAnsi="Arial Narrow"/>
                <w:sz w:val="24"/>
                <w:szCs w:val="24"/>
              </w:rPr>
              <w:t>72.50</w:t>
            </w:r>
          </w:p>
        </w:tc>
      </w:tr>
      <w:tr w:rsidR="00AF69FA" w:rsidRPr="00CD728B" w:rsidTr="006C722A">
        <w:trPr>
          <w:trHeight w:val="345"/>
          <w:jc w:val="center"/>
        </w:trPr>
        <w:tc>
          <w:tcPr>
            <w:tcW w:w="3745" w:type="dxa"/>
            <w:tcBorders>
              <w:top w:val="nil"/>
              <w:left w:val="single" w:sz="8" w:space="0" w:color="auto"/>
              <w:bottom w:val="single" w:sz="8" w:space="0" w:color="auto"/>
              <w:right w:val="single" w:sz="8" w:space="0" w:color="auto"/>
            </w:tcBorders>
            <w:shd w:val="clear" w:color="auto" w:fill="auto"/>
            <w:noWrap/>
            <w:hideMark/>
          </w:tcPr>
          <w:p w:rsidR="00AF69FA" w:rsidRPr="00CD728B" w:rsidRDefault="00AF69FA" w:rsidP="002E7D47">
            <w:pPr>
              <w:spacing w:before="100" w:beforeAutospacing="1" w:after="100" w:afterAutospacing="1" w:line="360" w:lineRule="auto"/>
              <w:contextualSpacing/>
              <w:jc w:val="both"/>
              <w:rPr>
                <w:rFonts w:ascii="Arial Narrow" w:eastAsia="Times New Roman" w:hAnsi="Arial Narrow" w:cs="Arial"/>
                <w:sz w:val="24"/>
                <w:szCs w:val="24"/>
                <w:lang w:val="es-MX" w:eastAsia="es-MX"/>
              </w:rPr>
            </w:pPr>
            <w:r w:rsidRPr="00CD728B">
              <w:rPr>
                <w:rFonts w:ascii="Arial Narrow" w:hAnsi="Arial Narrow"/>
                <w:sz w:val="24"/>
                <w:szCs w:val="24"/>
              </w:rPr>
              <w:t>Fideicomiso Fondo para el Desarrollo Económico y Social de la Ciudad de México</w:t>
            </w:r>
          </w:p>
        </w:tc>
        <w:tc>
          <w:tcPr>
            <w:tcW w:w="1065" w:type="dxa"/>
            <w:tcBorders>
              <w:top w:val="nil"/>
              <w:left w:val="nil"/>
              <w:bottom w:val="single" w:sz="8" w:space="0" w:color="auto"/>
              <w:right w:val="single" w:sz="8" w:space="0" w:color="auto"/>
            </w:tcBorders>
            <w:shd w:val="clear" w:color="auto" w:fill="C9C9C9" w:themeFill="accent3" w:themeFillTint="99"/>
            <w:noWrap/>
            <w:hideMark/>
          </w:tcPr>
          <w:p w:rsidR="00AF69FA" w:rsidRPr="00CD728B" w:rsidRDefault="00AF69FA" w:rsidP="00EE5F08">
            <w:pPr>
              <w:spacing w:before="100" w:beforeAutospacing="1" w:after="100" w:afterAutospacing="1" w:line="360" w:lineRule="auto"/>
              <w:contextualSpacing/>
              <w:jc w:val="center"/>
              <w:rPr>
                <w:rFonts w:ascii="Arial Narrow" w:eastAsia="Times New Roman" w:hAnsi="Arial Narrow" w:cs="Arial"/>
                <w:sz w:val="24"/>
                <w:szCs w:val="24"/>
                <w:lang w:val="es-MX" w:eastAsia="es-MX"/>
              </w:rPr>
            </w:pPr>
            <w:r w:rsidRPr="00CD728B">
              <w:rPr>
                <w:rFonts w:ascii="Arial Narrow" w:hAnsi="Arial Narrow"/>
                <w:sz w:val="24"/>
                <w:szCs w:val="24"/>
              </w:rPr>
              <w:t>55.18</w:t>
            </w:r>
          </w:p>
        </w:tc>
        <w:tc>
          <w:tcPr>
            <w:tcW w:w="1427" w:type="dxa"/>
            <w:tcBorders>
              <w:top w:val="nil"/>
              <w:left w:val="nil"/>
              <w:bottom w:val="single" w:sz="8" w:space="0" w:color="auto"/>
              <w:right w:val="single" w:sz="8" w:space="0" w:color="auto"/>
            </w:tcBorders>
            <w:shd w:val="clear" w:color="auto" w:fill="auto"/>
            <w:noWrap/>
            <w:hideMark/>
          </w:tcPr>
          <w:p w:rsidR="00AF69FA" w:rsidRPr="00CD728B" w:rsidRDefault="00AF69FA" w:rsidP="00EE5F08">
            <w:pPr>
              <w:spacing w:before="100" w:beforeAutospacing="1" w:after="100" w:afterAutospacing="1" w:line="360" w:lineRule="auto"/>
              <w:contextualSpacing/>
              <w:jc w:val="center"/>
              <w:rPr>
                <w:rFonts w:ascii="Arial Narrow" w:eastAsia="Times New Roman" w:hAnsi="Arial Narrow" w:cs="Arial"/>
                <w:sz w:val="24"/>
                <w:szCs w:val="24"/>
                <w:lang w:val="es-MX" w:eastAsia="es-MX"/>
              </w:rPr>
            </w:pPr>
            <w:r w:rsidRPr="00CD728B">
              <w:rPr>
                <w:rFonts w:ascii="Arial Narrow" w:hAnsi="Arial Narrow"/>
                <w:sz w:val="24"/>
                <w:szCs w:val="24"/>
              </w:rPr>
              <w:t>40.17</w:t>
            </w:r>
          </w:p>
        </w:tc>
        <w:tc>
          <w:tcPr>
            <w:tcW w:w="1114" w:type="dxa"/>
            <w:tcBorders>
              <w:top w:val="nil"/>
              <w:left w:val="nil"/>
              <w:bottom w:val="single" w:sz="8" w:space="0" w:color="auto"/>
              <w:right w:val="single" w:sz="8" w:space="0" w:color="auto"/>
            </w:tcBorders>
            <w:shd w:val="clear" w:color="auto" w:fill="auto"/>
            <w:noWrap/>
            <w:hideMark/>
          </w:tcPr>
          <w:p w:rsidR="00AF69FA" w:rsidRPr="00CD728B" w:rsidRDefault="00AF69FA" w:rsidP="00EE5F08">
            <w:pPr>
              <w:spacing w:before="100" w:beforeAutospacing="1" w:after="100" w:afterAutospacing="1" w:line="360" w:lineRule="auto"/>
              <w:contextualSpacing/>
              <w:jc w:val="center"/>
              <w:rPr>
                <w:rFonts w:ascii="Arial Narrow" w:eastAsia="Times New Roman" w:hAnsi="Arial Narrow" w:cs="Arial"/>
                <w:sz w:val="24"/>
                <w:szCs w:val="24"/>
                <w:lang w:val="es-MX" w:eastAsia="es-MX"/>
              </w:rPr>
            </w:pPr>
            <w:r w:rsidRPr="00CD728B">
              <w:rPr>
                <w:rFonts w:ascii="Arial Narrow" w:hAnsi="Arial Narrow"/>
                <w:sz w:val="24"/>
                <w:szCs w:val="24"/>
              </w:rPr>
              <w:t>70.19</w:t>
            </w:r>
          </w:p>
        </w:tc>
      </w:tr>
      <w:tr w:rsidR="00AF69FA" w:rsidRPr="00CD728B" w:rsidTr="006C722A">
        <w:trPr>
          <w:trHeight w:val="345"/>
          <w:jc w:val="center"/>
        </w:trPr>
        <w:tc>
          <w:tcPr>
            <w:tcW w:w="3745" w:type="dxa"/>
            <w:tcBorders>
              <w:top w:val="nil"/>
              <w:left w:val="single" w:sz="8" w:space="0" w:color="auto"/>
              <w:bottom w:val="single" w:sz="8" w:space="0" w:color="auto"/>
              <w:right w:val="single" w:sz="8" w:space="0" w:color="auto"/>
            </w:tcBorders>
            <w:shd w:val="clear" w:color="auto" w:fill="auto"/>
            <w:noWrap/>
            <w:hideMark/>
          </w:tcPr>
          <w:p w:rsidR="00AF69FA" w:rsidRPr="00CD728B" w:rsidRDefault="00AF69FA" w:rsidP="002E7D47">
            <w:pPr>
              <w:spacing w:before="100" w:beforeAutospacing="1" w:after="100" w:afterAutospacing="1" w:line="360" w:lineRule="auto"/>
              <w:contextualSpacing/>
              <w:jc w:val="both"/>
              <w:rPr>
                <w:rFonts w:ascii="Arial Narrow" w:eastAsia="Times New Roman" w:hAnsi="Arial Narrow" w:cs="Arial"/>
                <w:sz w:val="24"/>
                <w:szCs w:val="24"/>
                <w:lang w:val="es-MX" w:eastAsia="es-MX"/>
              </w:rPr>
            </w:pPr>
            <w:r w:rsidRPr="00CD728B">
              <w:rPr>
                <w:rFonts w:ascii="Arial Narrow" w:hAnsi="Arial Narrow"/>
                <w:sz w:val="24"/>
                <w:szCs w:val="24"/>
              </w:rPr>
              <w:t>Fondo para la Atención y Apoyo a las Víctimas del Delito</w:t>
            </w:r>
          </w:p>
        </w:tc>
        <w:tc>
          <w:tcPr>
            <w:tcW w:w="1065" w:type="dxa"/>
            <w:tcBorders>
              <w:top w:val="nil"/>
              <w:left w:val="nil"/>
              <w:bottom w:val="single" w:sz="8" w:space="0" w:color="auto"/>
              <w:right w:val="single" w:sz="8" w:space="0" w:color="auto"/>
            </w:tcBorders>
            <w:shd w:val="clear" w:color="auto" w:fill="C9C9C9" w:themeFill="accent3" w:themeFillTint="99"/>
            <w:noWrap/>
            <w:hideMark/>
          </w:tcPr>
          <w:p w:rsidR="00AF69FA" w:rsidRPr="00CD728B" w:rsidRDefault="00AF69FA" w:rsidP="00EE5F08">
            <w:pPr>
              <w:spacing w:before="100" w:beforeAutospacing="1" w:after="100" w:afterAutospacing="1" w:line="360" w:lineRule="auto"/>
              <w:contextualSpacing/>
              <w:jc w:val="center"/>
              <w:rPr>
                <w:rFonts w:ascii="Arial Narrow" w:eastAsia="Times New Roman" w:hAnsi="Arial Narrow" w:cs="Arial"/>
                <w:sz w:val="24"/>
                <w:szCs w:val="24"/>
                <w:lang w:val="es-MX" w:eastAsia="es-MX"/>
              </w:rPr>
            </w:pPr>
            <w:r w:rsidRPr="00CD728B">
              <w:rPr>
                <w:rFonts w:ascii="Arial Narrow" w:hAnsi="Arial Narrow"/>
                <w:sz w:val="24"/>
                <w:szCs w:val="24"/>
              </w:rPr>
              <w:t>54.05</w:t>
            </w:r>
          </w:p>
        </w:tc>
        <w:tc>
          <w:tcPr>
            <w:tcW w:w="1427" w:type="dxa"/>
            <w:tcBorders>
              <w:top w:val="nil"/>
              <w:left w:val="nil"/>
              <w:bottom w:val="single" w:sz="8" w:space="0" w:color="auto"/>
              <w:right w:val="single" w:sz="8" w:space="0" w:color="auto"/>
            </w:tcBorders>
            <w:shd w:val="clear" w:color="auto" w:fill="auto"/>
            <w:noWrap/>
            <w:hideMark/>
          </w:tcPr>
          <w:p w:rsidR="00AF69FA" w:rsidRPr="00CD728B" w:rsidRDefault="00AF69FA" w:rsidP="00EE5F08">
            <w:pPr>
              <w:spacing w:before="100" w:beforeAutospacing="1" w:after="100" w:afterAutospacing="1" w:line="360" w:lineRule="auto"/>
              <w:contextualSpacing/>
              <w:jc w:val="center"/>
              <w:rPr>
                <w:rFonts w:ascii="Arial Narrow" w:eastAsia="Times New Roman" w:hAnsi="Arial Narrow" w:cs="Arial"/>
                <w:sz w:val="24"/>
                <w:szCs w:val="24"/>
                <w:lang w:val="es-MX" w:eastAsia="es-MX"/>
              </w:rPr>
            </w:pPr>
            <w:r w:rsidRPr="00CD728B">
              <w:rPr>
                <w:rFonts w:ascii="Arial Narrow" w:hAnsi="Arial Narrow"/>
                <w:sz w:val="24"/>
                <w:szCs w:val="24"/>
              </w:rPr>
              <w:t>10.00</w:t>
            </w:r>
          </w:p>
        </w:tc>
        <w:tc>
          <w:tcPr>
            <w:tcW w:w="1114" w:type="dxa"/>
            <w:tcBorders>
              <w:top w:val="nil"/>
              <w:left w:val="nil"/>
              <w:bottom w:val="single" w:sz="8" w:space="0" w:color="auto"/>
              <w:right w:val="single" w:sz="8" w:space="0" w:color="auto"/>
            </w:tcBorders>
            <w:shd w:val="clear" w:color="auto" w:fill="auto"/>
            <w:noWrap/>
            <w:hideMark/>
          </w:tcPr>
          <w:p w:rsidR="00AF69FA" w:rsidRPr="00CD728B" w:rsidRDefault="00AF69FA" w:rsidP="00EE5F08">
            <w:pPr>
              <w:spacing w:before="100" w:beforeAutospacing="1" w:after="100" w:afterAutospacing="1" w:line="360" w:lineRule="auto"/>
              <w:contextualSpacing/>
              <w:jc w:val="center"/>
              <w:rPr>
                <w:rFonts w:ascii="Arial Narrow" w:eastAsia="Times New Roman" w:hAnsi="Arial Narrow" w:cs="Arial"/>
                <w:sz w:val="24"/>
                <w:szCs w:val="24"/>
                <w:lang w:val="es-MX" w:eastAsia="es-MX"/>
              </w:rPr>
            </w:pPr>
            <w:r w:rsidRPr="00CD728B">
              <w:rPr>
                <w:rFonts w:ascii="Arial Narrow" w:hAnsi="Arial Narrow"/>
                <w:sz w:val="24"/>
                <w:szCs w:val="24"/>
              </w:rPr>
              <w:t>98.10</w:t>
            </w:r>
          </w:p>
        </w:tc>
      </w:tr>
      <w:tr w:rsidR="00AF69FA" w:rsidRPr="00CD728B" w:rsidTr="006C722A">
        <w:trPr>
          <w:trHeight w:val="345"/>
          <w:jc w:val="center"/>
        </w:trPr>
        <w:tc>
          <w:tcPr>
            <w:tcW w:w="3745" w:type="dxa"/>
            <w:tcBorders>
              <w:top w:val="nil"/>
              <w:left w:val="single" w:sz="8" w:space="0" w:color="auto"/>
              <w:bottom w:val="single" w:sz="8" w:space="0" w:color="auto"/>
              <w:right w:val="single" w:sz="8" w:space="0" w:color="auto"/>
            </w:tcBorders>
            <w:shd w:val="clear" w:color="auto" w:fill="auto"/>
            <w:noWrap/>
            <w:hideMark/>
          </w:tcPr>
          <w:p w:rsidR="00AF69FA" w:rsidRPr="00CD728B" w:rsidRDefault="00AF69FA" w:rsidP="002E7D47">
            <w:pPr>
              <w:spacing w:before="100" w:beforeAutospacing="1" w:after="100" w:afterAutospacing="1" w:line="360" w:lineRule="auto"/>
              <w:contextualSpacing/>
              <w:jc w:val="both"/>
              <w:rPr>
                <w:rFonts w:ascii="Arial Narrow" w:eastAsia="Times New Roman" w:hAnsi="Arial Narrow" w:cs="Arial"/>
                <w:sz w:val="24"/>
                <w:szCs w:val="24"/>
                <w:lang w:val="es-MX" w:eastAsia="es-MX"/>
              </w:rPr>
            </w:pPr>
            <w:r w:rsidRPr="00CD728B">
              <w:rPr>
                <w:rFonts w:ascii="Arial Narrow" w:hAnsi="Arial Narrow"/>
                <w:sz w:val="24"/>
                <w:szCs w:val="24"/>
              </w:rPr>
              <w:t>Fideicomiso Público del Fondo de Apoyo a la Procuración de Justicia del Distrito Federal</w:t>
            </w:r>
          </w:p>
        </w:tc>
        <w:tc>
          <w:tcPr>
            <w:tcW w:w="1065" w:type="dxa"/>
            <w:tcBorders>
              <w:top w:val="nil"/>
              <w:left w:val="nil"/>
              <w:bottom w:val="single" w:sz="8" w:space="0" w:color="auto"/>
              <w:right w:val="single" w:sz="8" w:space="0" w:color="auto"/>
            </w:tcBorders>
            <w:shd w:val="clear" w:color="auto" w:fill="C9C9C9" w:themeFill="accent3" w:themeFillTint="99"/>
            <w:noWrap/>
            <w:hideMark/>
          </w:tcPr>
          <w:p w:rsidR="00AF69FA" w:rsidRPr="00CD728B" w:rsidRDefault="00AF69FA" w:rsidP="00EE5F08">
            <w:pPr>
              <w:spacing w:before="100" w:beforeAutospacing="1" w:after="100" w:afterAutospacing="1" w:line="360" w:lineRule="auto"/>
              <w:contextualSpacing/>
              <w:jc w:val="center"/>
              <w:rPr>
                <w:rFonts w:ascii="Arial Narrow" w:eastAsia="Times New Roman" w:hAnsi="Arial Narrow" w:cs="Arial"/>
                <w:sz w:val="24"/>
                <w:szCs w:val="24"/>
                <w:lang w:val="es-MX" w:eastAsia="es-MX"/>
              </w:rPr>
            </w:pPr>
            <w:r w:rsidRPr="00CD728B">
              <w:rPr>
                <w:rFonts w:ascii="Arial Narrow" w:hAnsi="Arial Narrow"/>
                <w:sz w:val="24"/>
                <w:szCs w:val="24"/>
              </w:rPr>
              <w:t>46.77</w:t>
            </w:r>
          </w:p>
        </w:tc>
        <w:tc>
          <w:tcPr>
            <w:tcW w:w="1427" w:type="dxa"/>
            <w:tcBorders>
              <w:top w:val="nil"/>
              <w:left w:val="nil"/>
              <w:bottom w:val="single" w:sz="8" w:space="0" w:color="auto"/>
              <w:right w:val="single" w:sz="8" w:space="0" w:color="auto"/>
            </w:tcBorders>
            <w:shd w:val="clear" w:color="auto" w:fill="auto"/>
            <w:noWrap/>
            <w:hideMark/>
          </w:tcPr>
          <w:p w:rsidR="00AF69FA" w:rsidRPr="00CD728B" w:rsidRDefault="00AF69FA" w:rsidP="00EE5F08">
            <w:pPr>
              <w:spacing w:before="100" w:beforeAutospacing="1" w:after="100" w:afterAutospacing="1" w:line="360" w:lineRule="auto"/>
              <w:contextualSpacing/>
              <w:jc w:val="center"/>
              <w:rPr>
                <w:rFonts w:ascii="Arial Narrow" w:eastAsia="Times New Roman" w:hAnsi="Arial Narrow" w:cs="Arial"/>
                <w:sz w:val="24"/>
                <w:szCs w:val="24"/>
                <w:lang w:val="es-MX" w:eastAsia="es-MX"/>
              </w:rPr>
            </w:pPr>
            <w:r w:rsidRPr="00CD728B">
              <w:rPr>
                <w:rFonts w:ascii="Arial Narrow" w:hAnsi="Arial Narrow"/>
                <w:sz w:val="24"/>
                <w:szCs w:val="24"/>
              </w:rPr>
              <w:t>88.54</w:t>
            </w:r>
          </w:p>
        </w:tc>
        <w:tc>
          <w:tcPr>
            <w:tcW w:w="1114" w:type="dxa"/>
            <w:tcBorders>
              <w:top w:val="nil"/>
              <w:left w:val="nil"/>
              <w:bottom w:val="single" w:sz="8" w:space="0" w:color="auto"/>
              <w:right w:val="single" w:sz="8" w:space="0" w:color="auto"/>
            </w:tcBorders>
            <w:shd w:val="clear" w:color="auto" w:fill="auto"/>
            <w:noWrap/>
            <w:hideMark/>
          </w:tcPr>
          <w:p w:rsidR="00AF69FA" w:rsidRPr="00CD728B" w:rsidRDefault="00AF69FA" w:rsidP="00EE5F08">
            <w:pPr>
              <w:spacing w:before="100" w:beforeAutospacing="1" w:after="100" w:afterAutospacing="1" w:line="360" w:lineRule="auto"/>
              <w:contextualSpacing/>
              <w:jc w:val="center"/>
              <w:rPr>
                <w:rFonts w:ascii="Arial Narrow" w:eastAsia="Times New Roman" w:hAnsi="Arial Narrow" w:cs="Arial"/>
                <w:sz w:val="24"/>
                <w:szCs w:val="24"/>
                <w:lang w:val="es-MX" w:eastAsia="es-MX"/>
              </w:rPr>
            </w:pPr>
            <w:r w:rsidRPr="00CD728B">
              <w:rPr>
                <w:rFonts w:ascii="Arial Narrow" w:hAnsi="Arial Narrow"/>
                <w:sz w:val="24"/>
                <w:szCs w:val="24"/>
              </w:rPr>
              <w:t>5.00</w:t>
            </w:r>
          </w:p>
        </w:tc>
      </w:tr>
      <w:tr w:rsidR="00AF69FA" w:rsidRPr="00CD728B" w:rsidTr="006C722A">
        <w:trPr>
          <w:trHeight w:val="345"/>
          <w:jc w:val="center"/>
        </w:trPr>
        <w:tc>
          <w:tcPr>
            <w:tcW w:w="3745" w:type="dxa"/>
            <w:tcBorders>
              <w:top w:val="nil"/>
              <w:left w:val="single" w:sz="8" w:space="0" w:color="auto"/>
              <w:bottom w:val="single" w:sz="8" w:space="0" w:color="auto"/>
              <w:right w:val="single" w:sz="8" w:space="0" w:color="auto"/>
            </w:tcBorders>
            <w:shd w:val="clear" w:color="auto" w:fill="auto"/>
            <w:noWrap/>
            <w:hideMark/>
          </w:tcPr>
          <w:p w:rsidR="00AF69FA" w:rsidRPr="00CD728B" w:rsidRDefault="00AF69FA" w:rsidP="002E7D47">
            <w:pPr>
              <w:spacing w:before="100" w:beforeAutospacing="1" w:after="100" w:afterAutospacing="1" w:line="360" w:lineRule="auto"/>
              <w:contextualSpacing/>
              <w:jc w:val="both"/>
              <w:rPr>
                <w:rFonts w:ascii="Arial Narrow" w:eastAsia="Times New Roman" w:hAnsi="Arial Narrow" w:cs="Arial"/>
                <w:sz w:val="24"/>
                <w:szCs w:val="24"/>
                <w:lang w:val="es-MX" w:eastAsia="es-MX"/>
              </w:rPr>
            </w:pPr>
            <w:r w:rsidRPr="00CD728B">
              <w:rPr>
                <w:rFonts w:ascii="Arial Narrow" w:hAnsi="Arial Narrow"/>
                <w:sz w:val="24"/>
                <w:szCs w:val="24"/>
              </w:rPr>
              <w:t>Fideicomiso para el Fondo de Promoción para el Financiamiento del Transporte Público</w:t>
            </w:r>
          </w:p>
        </w:tc>
        <w:tc>
          <w:tcPr>
            <w:tcW w:w="1065" w:type="dxa"/>
            <w:tcBorders>
              <w:top w:val="nil"/>
              <w:left w:val="nil"/>
              <w:bottom w:val="single" w:sz="8" w:space="0" w:color="auto"/>
              <w:right w:val="single" w:sz="8" w:space="0" w:color="auto"/>
            </w:tcBorders>
            <w:shd w:val="clear" w:color="auto" w:fill="C9C9C9" w:themeFill="accent3" w:themeFillTint="99"/>
            <w:noWrap/>
            <w:hideMark/>
          </w:tcPr>
          <w:p w:rsidR="00AF69FA" w:rsidRPr="00CD728B" w:rsidRDefault="00AF69FA" w:rsidP="00EE5F08">
            <w:pPr>
              <w:spacing w:before="100" w:beforeAutospacing="1" w:after="100" w:afterAutospacing="1" w:line="360" w:lineRule="auto"/>
              <w:contextualSpacing/>
              <w:jc w:val="center"/>
              <w:rPr>
                <w:rFonts w:ascii="Arial Narrow" w:eastAsia="Times New Roman" w:hAnsi="Arial Narrow" w:cs="Arial"/>
                <w:sz w:val="24"/>
                <w:szCs w:val="24"/>
                <w:lang w:val="es-MX" w:eastAsia="es-MX"/>
              </w:rPr>
            </w:pPr>
            <w:r w:rsidRPr="00CD728B">
              <w:rPr>
                <w:rFonts w:ascii="Arial Narrow" w:hAnsi="Arial Narrow"/>
                <w:sz w:val="24"/>
                <w:szCs w:val="24"/>
              </w:rPr>
              <w:t>16.44</w:t>
            </w:r>
          </w:p>
        </w:tc>
        <w:tc>
          <w:tcPr>
            <w:tcW w:w="1427" w:type="dxa"/>
            <w:tcBorders>
              <w:top w:val="nil"/>
              <w:left w:val="nil"/>
              <w:bottom w:val="single" w:sz="8" w:space="0" w:color="auto"/>
              <w:right w:val="single" w:sz="8" w:space="0" w:color="auto"/>
            </w:tcBorders>
            <w:shd w:val="clear" w:color="auto" w:fill="auto"/>
            <w:noWrap/>
            <w:hideMark/>
          </w:tcPr>
          <w:p w:rsidR="00AF69FA" w:rsidRPr="00CD728B" w:rsidRDefault="00AF69FA" w:rsidP="00EE5F08">
            <w:pPr>
              <w:spacing w:before="100" w:beforeAutospacing="1" w:after="100" w:afterAutospacing="1" w:line="360" w:lineRule="auto"/>
              <w:contextualSpacing/>
              <w:jc w:val="center"/>
              <w:rPr>
                <w:rFonts w:ascii="Arial Narrow" w:eastAsia="Times New Roman" w:hAnsi="Arial Narrow" w:cs="Arial"/>
                <w:sz w:val="24"/>
                <w:szCs w:val="24"/>
                <w:lang w:val="es-MX" w:eastAsia="es-MX"/>
              </w:rPr>
            </w:pPr>
            <w:r w:rsidRPr="00CD728B">
              <w:rPr>
                <w:rFonts w:ascii="Arial Narrow" w:hAnsi="Arial Narrow"/>
                <w:sz w:val="24"/>
                <w:szCs w:val="24"/>
              </w:rPr>
              <w:t>17.88</w:t>
            </w:r>
          </w:p>
        </w:tc>
        <w:tc>
          <w:tcPr>
            <w:tcW w:w="1114" w:type="dxa"/>
            <w:tcBorders>
              <w:top w:val="nil"/>
              <w:left w:val="nil"/>
              <w:bottom w:val="single" w:sz="8" w:space="0" w:color="auto"/>
              <w:right w:val="single" w:sz="8" w:space="0" w:color="auto"/>
            </w:tcBorders>
            <w:shd w:val="clear" w:color="auto" w:fill="auto"/>
            <w:noWrap/>
            <w:hideMark/>
          </w:tcPr>
          <w:p w:rsidR="00AF69FA" w:rsidRPr="00CD728B" w:rsidRDefault="00AF69FA" w:rsidP="00EE5F08">
            <w:pPr>
              <w:spacing w:before="100" w:beforeAutospacing="1" w:after="100" w:afterAutospacing="1" w:line="360" w:lineRule="auto"/>
              <w:contextualSpacing/>
              <w:jc w:val="center"/>
              <w:rPr>
                <w:rFonts w:ascii="Arial Narrow" w:eastAsia="Times New Roman" w:hAnsi="Arial Narrow" w:cs="Arial"/>
                <w:sz w:val="24"/>
                <w:szCs w:val="24"/>
                <w:lang w:val="es-MX" w:eastAsia="es-MX"/>
              </w:rPr>
            </w:pPr>
            <w:r w:rsidRPr="00CD728B">
              <w:rPr>
                <w:rFonts w:ascii="Arial Narrow" w:hAnsi="Arial Narrow"/>
                <w:sz w:val="24"/>
                <w:szCs w:val="24"/>
              </w:rPr>
              <w:t>15.00</w:t>
            </w:r>
          </w:p>
        </w:tc>
      </w:tr>
      <w:tr w:rsidR="00AF69FA" w:rsidRPr="00CD728B" w:rsidTr="006C722A">
        <w:trPr>
          <w:trHeight w:val="345"/>
          <w:jc w:val="center"/>
        </w:trPr>
        <w:tc>
          <w:tcPr>
            <w:tcW w:w="3745" w:type="dxa"/>
            <w:tcBorders>
              <w:top w:val="nil"/>
              <w:left w:val="single" w:sz="8" w:space="0" w:color="auto"/>
              <w:bottom w:val="single" w:sz="8" w:space="0" w:color="auto"/>
              <w:right w:val="single" w:sz="8" w:space="0" w:color="auto"/>
            </w:tcBorders>
            <w:shd w:val="clear" w:color="auto" w:fill="auto"/>
            <w:noWrap/>
            <w:hideMark/>
          </w:tcPr>
          <w:p w:rsidR="00AF69FA" w:rsidRPr="00CD728B" w:rsidRDefault="00AF69FA" w:rsidP="002E7D47">
            <w:pPr>
              <w:spacing w:before="100" w:beforeAutospacing="1" w:after="100" w:afterAutospacing="1" w:line="360" w:lineRule="auto"/>
              <w:contextualSpacing/>
              <w:jc w:val="both"/>
              <w:rPr>
                <w:rFonts w:ascii="Arial Narrow" w:eastAsia="Times New Roman" w:hAnsi="Arial Narrow" w:cs="Arial"/>
                <w:sz w:val="24"/>
                <w:szCs w:val="24"/>
                <w:lang w:val="es-MX" w:eastAsia="es-MX"/>
              </w:rPr>
            </w:pPr>
            <w:r w:rsidRPr="00CD728B">
              <w:rPr>
                <w:rFonts w:ascii="Arial Narrow" w:hAnsi="Arial Narrow"/>
                <w:sz w:val="24"/>
                <w:szCs w:val="24"/>
              </w:rPr>
              <w:t>Fideicomiso Público Complejo Ambiental Xochimilco</w:t>
            </w:r>
          </w:p>
        </w:tc>
        <w:tc>
          <w:tcPr>
            <w:tcW w:w="1065" w:type="dxa"/>
            <w:tcBorders>
              <w:top w:val="nil"/>
              <w:left w:val="nil"/>
              <w:bottom w:val="single" w:sz="8" w:space="0" w:color="auto"/>
              <w:right w:val="single" w:sz="8" w:space="0" w:color="auto"/>
            </w:tcBorders>
            <w:shd w:val="clear" w:color="auto" w:fill="C9C9C9" w:themeFill="accent3" w:themeFillTint="99"/>
            <w:noWrap/>
            <w:hideMark/>
          </w:tcPr>
          <w:p w:rsidR="00AF69FA" w:rsidRPr="00CD728B" w:rsidRDefault="00AF69FA" w:rsidP="00EE5F08">
            <w:pPr>
              <w:spacing w:before="100" w:beforeAutospacing="1" w:after="100" w:afterAutospacing="1" w:line="360" w:lineRule="auto"/>
              <w:contextualSpacing/>
              <w:jc w:val="center"/>
              <w:rPr>
                <w:rFonts w:ascii="Arial Narrow" w:eastAsia="Times New Roman" w:hAnsi="Arial Narrow" w:cs="Arial"/>
                <w:sz w:val="24"/>
                <w:szCs w:val="24"/>
                <w:lang w:val="es-MX" w:eastAsia="es-MX"/>
              </w:rPr>
            </w:pPr>
            <w:r w:rsidRPr="00CD728B">
              <w:rPr>
                <w:rFonts w:ascii="Arial Narrow" w:hAnsi="Arial Narrow"/>
                <w:sz w:val="24"/>
                <w:szCs w:val="24"/>
              </w:rPr>
              <w:t>7.50</w:t>
            </w:r>
          </w:p>
        </w:tc>
        <w:tc>
          <w:tcPr>
            <w:tcW w:w="1427" w:type="dxa"/>
            <w:tcBorders>
              <w:top w:val="nil"/>
              <w:left w:val="nil"/>
              <w:bottom w:val="single" w:sz="8" w:space="0" w:color="auto"/>
              <w:right w:val="single" w:sz="8" w:space="0" w:color="auto"/>
            </w:tcBorders>
            <w:shd w:val="clear" w:color="auto" w:fill="auto"/>
            <w:noWrap/>
            <w:hideMark/>
          </w:tcPr>
          <w:p w:rsidR="00AF69FA" w:rsidRPr="00CD728B" w:rsidRDefault="00AF69FA" w:rsidP="00EE5F08">
            <w:pPr>
              <w:spacing w:before="100" w:beforeAutospacing="1" w:after="100" w:afterAutospacing="1" w:line="360" w:lineRule="auto"/>
              <w:contextualSpacing/>
              <w:jc w:val="center"/>
              <w:rPr>
                <w:rFonts w:ascii="Arial Narrow" w:eastAsia="Times New Roman" w:hAnsi="Arial Narrow" w:cs="Arial"/>
                <w:sz w:val="24"/>
                <w:szCs w:val="24"/>
                <w:lang w:val="es-MX" w:eastAsia="es-MX"/>
              </w:rPr>
            </w:pPr>
            <w:r w:rsidRPr="00CD728B">
              <w:rPr>
                <w:rFonts w:ascii="Arial Narrow" w:hAnsi="Arial Narrow"/>
                <w:sz w:val="24"/>
                <w:szCs w:val="24"/>
              </w:rPr>
              <w:t>5.00</w:t>
            </w:r>
          </w:p>
        </w:tc>
        <w:tc>
          <w:tcPr>
            <w:tcW w:w="1114" w:type="dxa"/>
            <w:tcBorders>
              <w:top w:val="nil"/>
              <w:left w:val="nil"/>
              <w:bottom w:val="single" w:sz="8" w:space="0" w:color="auto"/>
              <w:right w:val="single" w:sz="8" w:space="0" w:color="auto"/>
            </w:tcBorders>
            <w:shd w:val="clear" w:color="auto" w:fill="auto"/>
            <w:noWrap/>
            <w:hideMark/>
          </w:tcPr>
          <w:p w:rsidR="00AF69FA" w:rsidRPr="00CD728B" w:rsidRDefault="00AF69FA" w:rsidP="00EE5F08">
            <w:pPr>
              <w:spacing w:before="100" w:beforeAutospacing="1" w:after="100" w:afterAutospacing="1" w:line="360" w:lineRule="auto"/>
              <w:contextualSpacing/>
              <w:jc w:val="center"/>
              <w:rPr>
                <w:rFonts w:ascii="Arial Narrow" w:eastAsia="Times New Roman" w:hAnsi="Arial Narrow" w:cs="Arial"/>
                <w:sz w:val="24"/>
                <w:szCs w:val="24"/>
                <w:lang w:val="es-MX" w:eastAsia="es-MX"/>
              </w:rPr>
            </w:pPr>
            <w:r w:rsidRPr="00CD728B">
              <w:rPr>
                <w:rFonts w:ascii="Arial Narrow" w:hAnsi="Arial Narrow"/>
                <w:sz w:val="24"/>
                <w:szCs w:val="24"/>
              </w:rPr>
              <w:t>10.00</w:t>
            </w:r>
          </w:p>
        </w:tc>
      </w:tr>
      <w:tr w:rsidR="00AF69FA" w:rsidRPr="00CD728B" w:rsidTr="006C722A">
        <w:trPr>
          <w:trHeight w:val="345"/>
          <w:jc w:val="center"/>
        </w:trPr>
        <w:tc>
          <w:tcPr>
            <w:tcW w:w="3745" w:type="dxa"/>
            <w:tcBorders>
              <w:top w:val="nil"/>
              <w:left w:val="single" w:sz="8" w:space="0" w:color="auto"/>
              <w:bottom w:val="single" w:sz="8" w:space="0" w:color="auto"/>
              <w:right w:val="single" w:sz="8" w:space="0" w:color="auto"/>
            </w:tcBorders>
            <w:shd w:val="clear" w:color="auto" w:fill="auto"/>
            <w:noWrap/>
            <w:hideMark/>
          </w:tcPr>
          <w:p w:rsidR="00AF69FA" w:rsidRPr="00CD728B" w:rsidRDefault="00AF69FA" w:rsidP="002E7D47">
            <w:pPr>
              <w:spacing w:before="100" w:beforeAutospacing="1" w:after="100" w:afterAutospacing="1" w:line="360" w:lineRule="auto"/>
              <w:contextualSpacing/>
              <w:jc w:val="both"/>
              <w:rPr>
                <w:rFonts w:ascii="Arial Narrow" w:eastAsia="Times New Roman" w:hAnsi="Arial Narrow" w:cs="Arial"/>
                <w:sz w:val="24"/>
                <w:szCs w:val="24"/>
                <w:lang w:val="es-MX" w:eastAsia="es-MX"/>
              </w:rPr>
            </w:pPr>
            <w:r w:rsidRPr="00CD728B">
              <w:rPr>
                <w:rFonts w:ascii="Arial Narrow" w:hAnsi="Arial Narrow"/>
                <w:sz w:val="24"/>
                <w:szCs w:val="24"/>
              </w:rPr>
              <w:t>Fideicomiso para la Promoción y Desarrollo del Cine Mexicano en el Distrito Federal</w:t>
            </w:r>
          </w:p>
        </w:tc>
        <w:tc>
          <w:tcPr>
            <w:tcW w:w="1065" w:type="dxa"/>
            <w:tcBorders>
              <w:top w:val="nil"/>
              <w:left w:val="nil"/>
              <w:bottom w:val="single" w:sz="8" w:space="0" w:color="auto"/>
              <w:right w:val="single" w:sz="8" w:space="0" w:color="auto"/>
            </w:tcBorders>
            <w:shd w:val="clear" w:color="auto" w:fill="C9C9C9" w:themeFill="accent3" w:themeFillTint="99"/>
            <w:noWrap/>
            <w:hideMark/>
          </w:tcPr>
          <w:p w:rsidR="00AF69FA" w:rsidRPr="00CD728B" w:rsidRDefault="00AF69FA" w:rsidP="00EE5F08">
            <w:pPr>
              <w:spacing w:before="100" w:beforeAutospacing="1" w:after="100" w:afterAutospacing="1" w:line="360" w:lineRule="auto"/>
              <w:contextualSpacing/>
              <w:jc w:val="center"/>
              <w:rPr>
                <w:rFonts w:ascii="Arial Narrow" w:eastAsia="Times New Roman" w:hAnsi="Arial Narrow" w:cs="Arial"/>
                <w:sz w:val="24"/>
                <w:szCs w:val="24"/>
                <w:lang w:val="es-MX" w:eastAsia="es-MX"/>
              </w:rPr>
            </w:pPr>
            <w:r w:rsidRPr="00CD728B">
              <w:rPr>
                <w:rFonts w:ascii="Arial Narrow" w:hAnsi="Arial Narrow"/>
                <w:sz w:val="24"/>
                <w:szCs w:val="24"/>
              </w:rPr>
              <w:t>3.07</w:t>
            </w:r>
          </w:p>
        </w:tc>
        <w:tc>
          <w:tcPr>
            <w:tcW w:w="1427" w:type="dxa"/>
            <w:tcBorders>
              <w:top w:val="nil"/>
              <w:left w:val="nil"/>
              <w:bottom w:val="single" w:sz="8" w:space="0" w:color="auto"/>
              <w:right w:val="single" w:sz="8" w:space="0" w:color="auto"/>
            </w:tcBorders>
            <w:shd w:val="clear" w:color="auto" w:fill="auto"/>
            <w:noWrap/>
            <w:hideMark/>
          </w:tcPr>
          <w:p w:rsidR="00AF69FA" w:rsidRPr="00CD728B" w:rsidRDefault="00AF69FA" w:rsidP="00EE5F08">
            <w:pPr>
              <w:spacing w:before="100" w:beforeAutospacing="1" w:after="100" w:afterAutospacing="1" w:line="360" w:lineRule="auto"/>
              <w:contextualSpacing/>
              <w:jc w:val="center"/>
              <w:rPr>
                <w:rFonts w:ascii="Arial Narrow" w:eastAsia="Times New Roman" w:hAnsi="Arial Narrow" w:cs="Arial"/>
                <w:sz w:val="24"/>
                <w:szCs w:val="24"/>
                <w:lang w:val="es-MX" w:eastAsia="es-MX"/>
              </w:rPr>
            </w:pPr>
            <w:r w:rsidRPr="00CD728B">
              <w:rPr>
                <w:rFonts w:ascii="Arial Narrow" w:hAnsi="Arial Narrow"/>
                <w:sz w:val="24"/>
                <w:szCs w:val="24"/>
              </w:rPr>
              <w:t>0.00</w:t>
            </w:r>
          </w:p>
        </w:tc>
        <w:tc>
          <w:tcPr>
            <w:tcW w:w="1114" w:type="dxa"/>
            <w:tcBorders>
              <w:top w:val="nil"/>
              <w:left w:val="nil"/>
              <w:bottom w:val="single" w:sz="8" w:space="0" w:color="auto"/>
              <w:right w:val="single" w:sz="8" w:space="0" w:color="auto"/>
            </w:tcBorders>
            <w:shd w:val="clear" w:color="auto" w:fill="auto"/>
            <w:noWrap/>
            <w:hideMark/>
          </w:tcPr>
          <w:p w:rsidR="00AF69FA" w:rsidRPr="00CD728B" w:rsidRDefault="00AF69FA" w:rsidP="00EE5F08">
            <w:pPr>
              <w:spacing w:before="100" w:beforeAutospacing="1" w:after="100" w:afterAutospacing="1" w:line="360" w:lineRule="auto"/>
              <w:contextualSpacing/>
              <w:jc w:val="center"/>
              <w:rPr>
                <w:rFonts w:ascii="Arial Narrow" w:eastAsia="Times New Roman" w:hAnsi="Arial Narrow" w:cs="Arial"/>
                <w:sz w:val="24"/>
                <w:szCs w:val="24"/>
                <w:lang w:val="es-MX" w:eastAsia="es-MX"/>
              </w:rPr>
            </w:pPr>
            <w:r w:rsidRPr="00CD728B">
              <w:rPr>
                <w:rFonts w:ascii="Arial Narrow" w:hAnsi="Arial Narrow"/>
                <w:sz w:val="24"/>
                <w:szCs w:val="24"/>
              </w:rPr>
              <w:t>6.13</w:t>
            </w:r>
          </w:p>
        </w:tc>
      </w:tr>
    </w:tbl>
    <w:p w:rsidR="00AF69FA" w:rsidRPr="006C722A" w:rsidRDefault="006C722A" w:rsidP="002E7D47">
      <w:pPr>
        <w:spacing w:before="100" w:beforeAutospacing="1" w:after="100" w:afterAutospacing="1" w:line="360" w:lineRule="auto"/>
        <w:contextualSpacing/>
        <w:jc w:val="both"/>
        <w:rPr>
          <w:rFonts w:ascii="Arial Narrow" w:hAnsi="Arial Narrow" w:cs="Arial"/>
          <w:sz w:val="20"/>
          <w:szCs w:val="24"/>
        </w:rPr>
      </w:pPr>
      <w:r w:rsidRPr="006C722A">
        <w:rPr>
          <w:rFonts w:ascii="Arial Narrow" w:hAnsi="Arial Narrow" w:cs="Arial"/>
          <w:b/>
          <w:sz w:val="20"/>
          <w:szCs w:val="24"/>
        </w:rPr>
        <w:t>Nota metodológica</w:t>
      </w:r>
      <w:r w:rsidRPr="006C722A">
        <w:rPr>
          <w:rFonts w:ascii="Arial Narrow" w:hAnsi="Arial Narrow" w:cs="Arial"/>
          <w:sz w:val="20"/>
          <w:szCs w:val="24"/>
        </w:rPr>
        <w:t>: El IGOT se compone del promedio de ICOT-P</w:t>
      </w:r>
      <w:r w:rsidR="00623A69">
        <w:rPr>
          <w:rFonts w:ascii="Arial Narrow" w:hAnsi="Arial Narrow" w:cs="Arial"/>
          <w:sz w:val="20"/>
          <w:szCs w:val="24"/>
        </w:rPr>
        <w:t>T</w:t>
      </w:r>
      <w:r w:rsidRPr="006C722A">
        <w:rPr>
          <w:rFonts w:ascii="Arial Narrow" w:hAnsi="Arial Narrow" w:cs="Arial"/>
          <w:sz w:val="20"/>
          <w:szCs w:val="24"/>
        </w:rPr>
        <w:t xml:space="preserve"> e ICOT-PNT.</w:t>
      </w:r>
    </w:p>
    <w:p w:rsidR="00AF69FA" w:rsidRPr="00CD728B" w:rsidRDefault="00AF69FA"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 xml:space="preserve">En atención a la Tabla de Aplicabilidad realizada por la DEAEE del Instituto, las obligaciones que los Fondos Públicos y Fideicomisos deben actualizar y publicar en el SIPOT de la PNT, así como en sus respectivos portales de internet son las contempladas en los siguientes </w:t>
      </w:r>
      <w:r w:rsidR="009D7771">
        <w:rPr>
          <w:rFonts w:ascii="Arial Narrow" w:hAnsi="Arial Narrow" w:cs="Arial"/>
          <w:sz w:val="24"/>
          <w:szCs w:val="24"/>
        </w:rPr>
        <w:t>Artículo</w:t>
      </w:r>
      <w:r w:rsidRPr="00CD728B">
        <w:rPr>
          <w:rFonts w:ascii="Arial Narrow" w:hAnsi="Arial Narrow" w:cs="Arial"/>
          <w:sz w:val="24"/>
          <w:szCs w:val="24"/>
        </w:rPr>
        <w:t xml:space="preserve">s: </w:t>
      </w:r>
    </w:p>
    <w:p w:rsidR="00AF69FA" w:rsidRPr="00CD728B" w:rsidRDefault="009D7771" w:rsidP="002E7D47">
      <w:pPr>
        <w:pStyle w:val="Prrafodelista"/>
        <w:numPr>
          <w:ilvl w:val="0"/>
          <w:numId w:val="17"/>
        </w:numPr>
        <w:spacing w:before="100" w:beforeAutospacing="1" w:after="100" w:afterAutospacing="1" w:line="360" w:lineRule="auto"/>
        <w:jc w:val="both"/>
        <w:rPr>
          <w:rFonts w:ascii="Arial Narrow" w:hAnsi="Arial Narrow" w:cs="Arial"/>
          <w:sz w:val="24"/>
          <w:szCs w:val="24"/>
          <w:lang w:val="es-ES_tradnl"/>
        </w:rPr>
      </w:pPr>
      <w:r>
        <w:rPr>
          <w:rFonts w:ascii="Arial Narrow" w:hAnsi="Arial Narrow" w:cs="Arial"/>
          <w:sz w:val="24"/>
          <w:szCs w:val="24"/>
          <w:lang w:val="es-ES_tradnl"/>
        </w:rPr>
        <w:t>Artículo</w:t>
      </w:r>
      <w:r w:rsidR="00AF69FA" w:rsidRPr="00CD728B">
        <w:rPr>
          <w:rFonts w:ascii="Arial Narrow" w:hAnsi="Arial Narrow" w:cs="Arial"/>
          <w:sz w:val="24"/>
          <w:szCs w:val="24"/>
          <w:lang w:val="es-ES_tradnl"/>
        </w:rPr>
        <w:t xml:space="preserve"> 121. Obligaciones comunes, </w:t>
      </w:r>
    </w:p>
    <w:p w:rsidR="00AF69FA" w:rsidRPr="00CD728B" w:rsidRDefault="009D7771" w:rsidP="002E7D47">
      <w:pPr>
        <w:pStyle w:val="Prrafodelista"/>
        <w:numPr>
          <w:ilvl w:val="0"/>
          <w:numId w:val="17"/>
        </w:numPr>
        <w:spacing w:before="100" w:beforeAutospacing="1" w:after="100" w:afterAutospacing="1" w:line="360" w:lineRule="auto"/>
        <w:jc w:val="both"/>
        <w:rPr>
          <w:rFonts w:ascii="Arial Narrow" w:hAnsi="Arial Narrow" w:cs="Arial"/>
          <w:sz w:val="24"/>
          <w:szCs w:val="24"/>
          <w:lang w:val="es-ES_tradnl"/>
        </w:rPr>
      </w:pPr>
      <w:r>
        <w:rPr>
          <w:rFonts w:ascii="Arial Narrow" w:hAnsi="Arial Narrow" w:cs="Arial"/>
          <w:sz w:val="24"/>
          <w:szCs w:val="24"/>
          <w:lang w:val="es-ES_tradnl"/>
        </w:rPr>
        <w:t>Artículo</w:t>
      </w:r>
      <w:r w:rsidR="00AF69FA" w:rsidRPr="00CD728B">
        <w:rPr>
          <w:rFonts w:ascii="Arial Narrow" w:hAnsi="Arial Narrow" w:cs="Arial"/>
          <w:sz w:val="24"/>
          <w:szCs w:val="24"/>
          <w:lang w:val="es-ES_tradnl"/>
        </w:rPr>
        <w:t xml:space="preserve"> 135. Obligaciones específicas de los fideicomisos, fondos públicos y otros análogos,</w:t>
      </w:r>
    </w:p>
    <w:p w:rsidR="00AF69FA" w:rsidRPr="00CD728B" w:rsidRDefault="009D7771" w:rsidP="002E7D47">
      <w:pPr>
        <w:pStyle w:val="Prrafodelista"/>
        <w:numPr>
          <w:ilvl w:val="0"/>
          <w:numId w:val="17"/>
        </w:numPr>
        <w:spacing w:before="100" w:beforeAutospacing="1" w:after="100" w:afterAutospacing="1" w:line="360" w:lineRule="auto"/>
        <w:jc w:val="both"/>
        <w:rPr>
          <w:rFonts w:ascii="Arial Narrow" w:hAnsi="Arial Narrow" w:cs="Arial"/>
          <w:sz w:val="24"/>
          <w:szCs w:val="24"/>
          <w:lang w:val="es-ES_tradnl"/>
        </w:rPr>
      </w:pPr>
      <w:r>
        <w:rPr>
          <w:rFonts w:ascii="Arial Narrow" w:hAnsi="Arial Narrow" w:cs="Arial"/>
          <w:sz w:val="24"/>
          <w:szCs w:val="24"/>
          <w:lang w:val="es-ES_tradnl"/>
        </w:rPr>
        <w:lastRenderedPageBreak/>
        <w:t>Artículo</w:t>
      </w:r>
      <w:r w:rsidR="00AF69FA" w:rsidRPr="00CD728B">
        <w:rPr>
          <w:rFonts w:ascii="Arial Narrow" w:hAnsi="Arial Narrow" w:cs="Arial"/>
          <w:sz w:val="24"/>
          <w:szCs w:val="24"/>
          <w:lang w:val="es-ES_tradnl"/>
        </w:rPr>
        <w:t xml:space="preserve"> 136. Obligaciones específicas de los fideicomisos, fondos públicos y otros análogos, </w:t>
      </w:r>
    </w:p>
    <w:p w:rsidR="00AF69FA" w:rsidRPr="00CD728B" w:rsidRDefault="009D7771" w:rsidP="002E7D47">
      <w:pPr>
        <w:pStyle w:val="Prrafodelista"/>
        <w:numPr>
          <w:ilvl w:val="0"/>
          <w:numId w:val="17"/>
        </w:numPr>
        <w:spacing w:before="100" w:beforeAutospacing="1" w:after="100" w:afterAutospacing="1" w:line="360" w:lineRule="auto"/>
        <w:jc w:val="both"/>
        <w:rPr>
          <w:rFonts w:ascii="Arial Narrow" w:hAnsi="Arial Narrow" w:cs="Arial"/>
          <w:sz w:val="24"/>
          <w:szCs w:val="24"/>
          <w:lang w:val="es-ES_tradnl"/>
        </w:rPr>
      </w:pPr>
      <w:r>
        <w:rPr>
          <w:rFonts w:ascii="Arial Narrow" w:hAnsi="Arial Narrow" w:cs="Arial"/>
          <w:sz w:val="24"/>
          <w:szCs w:val="24"/>
          <w:lang w:val="es-ES_tradnl"/>
        </w:rPr>
        <w:t>Artículo</w:t>
      </w:r>
      <w:r w:rsidR="00AF69FA" w:rsidRPr="00CD728B">
        <w:rPr>
          <w:rFonts w:ascii="Arial Narrow" w:hAnsi="Arial Narrow" w:cs="Arial"/>
          <w:sz w:val="24"/>
          <w:szCs w:val="24"/>
          <w:lang w:val="es-ES_tradnl"/>
        </w:rPr>
        <w:t xml:space="preserve"> 143. Disposiciones Particulares,</w:t>
      </w:r>
    </w:p>
    <w:p w:rsidR="00AF69FA" w:rsidRPr="00CD728B" w:rsidRDefault="009D7771" w:rsidP="002E7D47">
      <w:pPr>
        <w:pStyle w:val="Prrafodelista"/>
        <w:numPr>
          <w:ilvl w:val="0"/>
          <w:numId w:val="17"/>
        </w:numPr>
        <w:spacing w:before="100" w:beforeAutospacing="1" w:after="100" w:afterAutospacing="1" w:line="360" w:lineRule="auto"/>
        <w:jc w:val="both"/>
        <w:rPr>
          <w:rFonts w:ascii="Arial Narrow" w:hAnsi="Arial Narrow" w:cs="Arial"/>
          <w:sz w:val="24"/>
          <w:szCs w:val="24"/>
          <w:lang w:val="es-ES_tradnl"/>
        </w:rPr>
      </w:pPr>
      <w:r>
        <w:rPr>
          <w:rFonts w:ascii="Arial Narrow" w:hAnsi="Arial Narrow" w:cs="Arial"/>
          <w:sz w:val="24"/>
          <w:szCs w:val="24"/>
          <w:lang w:val="es-ES_tradnl"/>
        </w:rPr>
        <w:t>Artículo</w:t>
      </w:r>
      <w:r w:rsidR="00AF69FA" w:rsidRPr="00CD728B">
        <w:rPr>
          <w:rFonts w:ascii="Arial Narrow" w:hAnsi="Arial Narrow" w:cs="Arial"/>
          <w:sz w:val="24"/>
          <w:szCs w:val="24"/>
          <w:lang w:val="es-ES_tradnl"/>
        </w:rPr>
        <w:t xml:space="preserve"> 145. Disposiciones Particulares,</w:t>
      </w:r>
    </w:p>
    <w:p w:rsidR="00AF69FA" w:rsidRPr="00CD728B" w:rsidRDefault="009D7771" w:rsidP="002E7D47">
      <w:pPr>
        <w:pStyle w:val="Prrafodelista"/>
        <w:numPr>
          <w:ilvl w:val="0"/>
          <w:numId w:val="17"/>
        </w:numPr>
        <w:spacing w:before="100" w:beforeAutospacing="1" w:after="100" w:afterAutospacing="1" w:line="360" w:lineRule="auto"/>
        <w:jc w:val="both"/>
        <w:rPr>
          <w:rFonts w:ascii="Arial Narrow" w:hAnsi="Arial Narrow" w:cs="Arial"/>
          <w:sz w:val="24"/>
          <w:szCs w:val="24"/>
          <w:lang w:val="es-ES_tradnl"/>
        </w:rPr>
      </w:pPr>
      <w:r>
        <w:rPr>
          <w:rFonts w:ascii="Arial Narrow" w:hAnsi="Arial Narrow" w:cs="Arial"/>
          <w:sz w:val="24"/>
          <w:szCs w:val="24"/>
          <w:lang w:val="es-ES_tradnl"/>
        </w:rPr>
        <w:t>Artículo</w:t>
      </w:r>
      <w:r w:rsidR="00AF69FA" w:rsidRPr="00CD728B">
        <w:rPr>
          <w:rFonts w:ascii="Arial Narrow" w:hAnsi="Arial Narrow" w:cs="Arial"/>
          <w:sz w:val="24"/>
          <w:szCs w:val="24"/>
          <w:lang w:val="es-ES_tradnl"/>
        </w:rPr>
        <w:t xml:space="preserve"> 146. Disposiciones Particulares, y </w:t>
      </w:r>
    </w:p>
    <w:p w:rsidR="00AF69FA" w:rsidRPr="00CD728B" w:rsidRDefault="009D7771" w:rsidP="002E7D47">
      <w:pPr>
        <w:pStyle w:val="Prrafodelista"/>
        <w:numPr>
          <w:ilvl w:val="0"/>
          <w:numId w:val="17"/>
        </w:numPr>
        <w:spacing w:before="100" w:beforeAutospacing="1" w:after="100" w:afterAutospacing="1" w:line="360" w:lineRule="auto"/>
        <w:jc w:val="both"/>
        <w:rPr>
          <w:rFonts w:ascii="Arial Narrow" w:hAnsi="Arial Narrow" w:cs="Arial"/>
          <w:sz w:val="24"/>
          <w:szCs w:val="24"/>
          <w:lang w:val="es-ES_tradnl"/>
        </w:rPr>
      </w:pPr>
      <w:r>
        <w:rPr>
          <w:rFonts w:ascii="Arial Narrow" w:hAnsi="Arial Narrow" w:cs="Arial"/>
          <w:sz w:val="24"/>
          <w:szCs w:val="24"/>
          <w:lang w:val="es-ES_tradnl"/>
        </w:rPr>
        <w:t>Artículo</w:t>
      </w:r>
      <w:r w:rsidR="00AF69FA" w:rsidRPr="00CD728B">
        <w:rPr>
          <w:rFonts w:ascii="Arial Narrow" w:hAnsi="Arial Narrow" w:cs="Arial"/>
          <w:sz w:val="24"/>
          <w:szCs w:val="24"/>
          <w:lang w:val="es-ES_tradnl"/>
        </w:rPr>
        <w:t xml:space="preserve"> 147. Disposiciones Particulares.</w:t>
      </w:r>
    </w:p>
    <w:p w:rsidR="00AF69FA" w:rsidRPr="00CD728B" w:rsidRDefault="00AF69FA" w:rsidP="002E7D47">
      <w:pPr>
        <w:pStyle w:val="Ttulo3"/>
        <w:numPr>
          <w:ilvl w:val="2"/>
          <w:numId w:val="18"/>
        </w:numPr>
        <w:contextualSpacing/>
        <w:jc w:val="both"/>
        <w:rPr>
          <w:rFonts w:ascii="Arial Narrow" w:hAnsi="Arial Narrow"/>
          <w:b/>
          <w:color w:val="auto"/>
        </w:rPr>
      </w:pPr>
      <w:bookmarkStart w:id="29" w:name="_Toc14293730"/>
      <w:r w:rsidRPr="00CD728B">
        <w:rPr>
          <w:rFonts w:ascii="Arial Narrow" w:hAnsi="Arial Narrow"/>
          <w:b/>
          <w:color w:val="auto"/>
        </w:rPr>
        <w:t>Análisis global de cumplimiento de los fideicomisos y fondos públicos.</w:t>
      </w:r>
      <w:bookmarkEnd w:id="29"/>
      <w:r w:rsidRPr="00CD728B">
        <w:rPr>
          <w:rFonts w:ascii="Arial Narrow" w:hAnsi="Arial Narrow"/>
          <w:b/>
          <w:color w:val="auto"/>
        </w:rPr>
        <w:t xml:space="preserve"> </w:t>
      </w:r>
    </w:p>
    <w:p w:rsidR="00EE5F08" w:rsidRPr="00CD728B" w:rsidRDefault="00EE5F08" w:rsidP="00EE5F08">
      <w:pPr>
        <w:rPr>
          <w:rFonts w:ascii="Arial Narrow" w:hAnsi="Arial Narrow"/>
        </w:rPr>
      </w:pPr>
    </w:p>
    <w:p w:rsidR="00AF69FA" w:rsidRPr="00CD728B" w:rsidRDefault="00AF69FA" w:rsidP="002E7D47">
      <w:pPr>
        <w:spacing w:before="100" w:beforeAutospacing="1" w:after="100" w:afterAutospacing="1" w:line="360" w:lineRule="auto"/>
        <w:contextualSpacing/>
        <w:jc w:val="both"/>
        <w:rPr>
          <w:rFonts w:ascii="Arial Narrow" w:hAnsi="Arial Narrow" w:cs="Arial"/>
          <w:sz w:val="24"/>
          <w:szCs w:val="24"/>
          <w:u w:val="single"/>
        </w:rPr>
      </w:pPr>
      <w:r w:rsidRPr="00CD728B">
        <w:rPr>
          <w:rFonts w:ascii="Arial Narrow" w:hAnsi="Arial Narrow" w:cs="Arial"/>
          <w:sz w:val="24"/>
          <w:szCs w:val="24"/>
          <w:u w:val="single"/>
        </w:rPr>
        <w:t xml:space="preserve">Índices Globales de Cumplimiento </w:t>
      </w:r>
    </w:p>
    <w:p w:rsidR="00EE5F08" w:rsidRPr="00CD728B" w:rsidRDefault="00EE5F08" w:rsidP="002E7D47">
      <w:pPr>
        <w:spacing w:before="100" w:beforeAutospacing="1" w:after="100" w:afterAutospacing="1" w:line="360" w:lineRule="auto"/>
        <w:contextualSpacing/>
        <w:jc w:val="both"/>
        <w:rPr>
          <w:rFonts w:ascii="Arial Narrow" w:hAnsi="Arial Narrow" w:cs="Arial"/>
          <w:sz w:val="24"/>
          <w:szCs w:val="24"/>
          <w:u w:val="single"/>
        </w:rPr>
      </w:pPr>
    </w:p>
    <w:p w:rsidR="00EE5F08" w:rsidRPr="00CD728B" w:rsidRDefault="00AF69FA"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Con relación al IGOT, la calificación más alta fue de 99.95 y las más baja de 3.07; obteniendo este ámbito una calificación promedio de 62.51, lo anterior puesto que 10</w:t>
      </w:r>
      <w:r w:rsidRPr="00CD728B">
        <w:rPr>
          <w:rStyle w:val="Refdenotaalpie"/>
          <w:rFonts w:ascii="Arial Narrow" w:hAnsi="Arial Narrow" w:cs="Arial"/>
          <w:sz w:val="24"/>
          <w:szCs w:val="24"/>
        </w:rPr>
        <w:footnoteReference w:id="36"/>
      </w:r>
      <w:r w:rsidRPr="00CD728B">
        <w:rPr>
          <w:rFonts w:ascii="Arial Narrow" w:hAnsi="Arial Narrow" w:cs="Arial"/>
          <w:sz w:val="24"/>
          <w:szCs w:val="24"/>
        </w:rPr>
        <w:t xml:space="preserve">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cumplieron parcialmente obteniendo entre 64.48 y 99.95; seis</w:t>
      </w:r>
      <w:r w:rsidRPr="00CD728B">
        <w:rPr>
          <w:rStyle w:val="Refdenotaalpie"/>
          <w:rFonts w:ascii="Arial Narrow" w:hAnsi="Arial Narrow" w:cs="Arial"/>
          <w:sz w:val="24"/>
          <w:szCs w:val="24"/>
        </w:rPr>
        <w:footnoteReference w:id="37"/>
      </w:r>
      <w:r w:rsidRPr="00CD728B">
        <w:rPr>
          <w:rFonts w:ascii="Arial Narrow" w:hAnsi="Arial Narrow" w:cs="Arial"/>
          <w:sz w:val="24"/>
          <w:szCs w:val="24"/>
        </w:rPr>
        <w:t xml:space="preserve"> incumplieron parcialmente obteniendo entre 3.07 y 55.18.</w:t>
      </w:r>
    </w:p>
    <w:p w:rsidR="00EE5F08" w:rsidRPr="00CD728B" w:rsidRDefault="00EE5F08" w:rsidP="002E7D47">
      <w:pPr>
        <w:spacing w:before="100" w:beforeAutospacing="1" w:after="100" w:afterAutospacing="1" w:line="360" w:lineRule="auto"/>
        <w:contextualSpacing/>
        <w:jc w:val="both"/>
        <w:rPr>
          <w:rFonts w:ascii="Arial Narrow" w:hAnsi="Arial Narrow" w:cs="Arial"/>
          <w:sz w:val="24"/>
          <w:szCs w:val="24"/>
        </w:rPr>
      </w:pPr>
    </w:p>
    <w:p w:rsidR="00AF69FA" w:rsidRPr="00CD728B" w:rsidRDefault="00AF69FA"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 xml:space="preserve">En este ámbito existe un grado de cumplimiento de 62.51% en lo que respecta a la publicación general de la información, 64.21% en la PNT y un 60.80% en los portales institucionales de los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w:t>
      </w:r>
    </w:p>
    <w:p w:rsidR="00EE5F08" w:rsidRPr="00CD728B" w:rsidRDefault="00EE5F08" w:rsidP="002E7D47">
      <w:pPr>
        <w:spacing w:before="100" w:beforeAutospacing="1" w:after="100" w:afterAutospacing="1" w:line="360" w:lineRule="auto"/>
        <w:contextualSpacing/>
        <w:jc w:val="both"/>
        <w:rPr>
          <w:rFonts w:ascii="Arial Narrow" w:hAnsi="Arial Narrow" w:cs="Arial"/>
          <w:sz w:val="24"/>
          <w:szCs w:val="24"/>
        </w:rPr>
      </w:pPr>
    </w:p>
    <w:p w:rsidR="00AF69FA" w:rsidRPr="00CD728B" w:rsidRDefault="00AF69FA" w:rsidP="002E7D47">
      <w:pPr>
        <w:spacing w:before="100" w:beforeAutospacing="1" w:after="100" w:afterAutospacing="1" w:line="360" w:lineRule="auto"/>
        <w:contextualSpacing/>
        <w:jc w:val="both"/>
        <w:rPr>
          <w:rFonts w:ascii="Arial Narrow" w:hAnsi="Arial Narrow" w:cs="Arial"/>
          <w:sz w:val="24"/>
          <w:szCs w:val="24"/>
          <w:u w:val="single"/>
        </w:rPr>
      </w:pPr>
      <w:r w:rsidRPr="00CD728B">
        <w:rPr>
          <w:rFonts w:ascii="Arial Narrow" w:hAnsi="Arial Narrow" w:cs="Arial"/>
          <w:sz w:val="24"/>
          <w:szCs w:val="24"/>
          <w:u w:val="single"/>
        </w:rPr>
        <w:t xml:space="preserve">Cumplimiento diferenciado por </w:t>
      </w:r>
      <w:r w:rsidR="009D7771">
        <w:rPr>
          <w:rFonts w:ascii="Arial Narrow" w:hAnsi="Arial Narrow" w:cs="Arial"/>
          <w:sz w:val="24"/>
          <w:szCs w:val="24"/>
          <w:u w:val="single"/>
        </w:rPr>
        <w:t>Artículo</w:t>
      </w:r>
      <w:r w:rsidRPr="00CD728B">
        <w:rPr>
          <w:rFonts w:ascii="Arial Narrow" w:hAnsi="Arial Narrow" w:cs="Arial"/>
          <w:sz w:val="24"/>
          <w:szCs w:val="24"/>
          <w:u w:val="single"/>
        </w:rPr>
        <w:t xml:space="preserve">s </w:t>
      </w:r>
    </w:p>
    <w:p w:rsidR="00EE5F08" w:rsidRPr="00CD728B" w:rsidRDefault="00EE5F08" w:rsidP="002E7D47">
      <w:pPr>
        <w:spacing w:before="100" w:beforeAutospacing="1" w:after="100" w:afterAutospacing="1" w:line="360" w:lineRule="auto"/>
        <w:contextualSpacing/>
        <w:jc w:val="both"/>
        <w:rPr>
          <w:rFonts w:ascii="Arial Narrow" w:hAnsi="Arial Narrow" w:cs="Arial"/>
          <w:sz w:val="24"/>
          <w:szCs w:val="24"/>
          <w:u w:val="single"/>
        </w:rPr>
      </w:pPr>
    </w:p>
    <w:p w:rsidR="00AF69FA" w:rsidRPr="00CD728B" w:rsidRDefault="00AF69FA"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lastRenderedPageBreak/>
        <w:t xml:space="preserve">Con relación al tipo de obligaciones de transparencia, este ámbito ha cumplido parcialmente en la publicación y actualización de sus obligaciones comunes, específicas y disposiciones particulares; obteniendo un promedio de cumplimiento de 60.30%, 62.06% y 70.89% respectivamente. </w:t>
      </w:r>
    </w:p>
    <w:p w:rsidR="00EE5F08" w:rsidRPr="00CD728B" w:rsidRDefault="00EE5F08" w:rsidP="002E7D47">
      <w:pPr>
        <w:spacing w:before="100" w:beforeAutospacing="1" w:after="100" w:afterAutospacing="1" w:line="360" w:lineRule="auto"/>
        <w:contextualSpacing/>
        <w:jc w:val="both"/>
        <w:rPr>
          <w:rFonts w:ascii="Arial Narrow" w:hAnsi="Arial Narrow" w:cs="Arial"/>
          <w:sz w:val="24"/>
          <w:szCs w:val="24"/>
        </w:rPr>
      </w:pPr>
    </w:p>
    <w:p w:rsidR="00AF69FA" w:rsidRPr="00CD728B" w:rsidRDefault="00AF69FA"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 xml:space="preserve">En esta misma línea, el </w:t>
      </w:r>
      <w:r w:rsidR="009D7771">
        <w:rPr>
          <w:rFonts w:ascii="Arial Narrow" w:hAnsi="Arial Narrow" w:cs="Arial"/>
          <w:sz w:val="24"/>
          <w:szCs w:val="24"/>
        </w:rPr>
        <w:t>Artículo</w:t>
      </w:r>
      <w:r w:rsidRPr="00CD728B">
        <w:rPr>
          <w:rFonts w:ascii="Arial Narrow" w:hAnsi="Arial Narrow" w:cs="Arial"/>
          <w:sz w:val="24"/>
          <w:szCs w:val="24"/>
        </w:rPr>
        <w:t xml:space="preserve"> 145 tuvo un ICP de 89.84%, el 147 de 75.63%, el 143 de 73.71%, el 136 de 64.21% y el 121 de 60.30%. Por otra parte, el 135 obtuvo un incumplimiento parcial de 59.91% junto con el 146 que obtuvo 44.38%. </w:t>
      </w:r>
    </w:p>
    <w:p w:rsidR="00EE5F08" w:rsidRPr="00CD728B" w:rsidRDefault="00EE5F08" w:rsidP="002E7D47">
      <w:pPr>
        <w:spacing w:before="100" w:beforeAutospacing="1" w:after="100" w:afterAutospacing="1" w:line="360" w:lineRule="auto"/>
        <w:contextualSpacing/>
        <w:jc w:val="both"/>
        <w:rPr>
          <w:rFonts w:ascii="Arial Narrow" w:hAnsi="Arial Narrow" w:cs="Arial"/>
          <w:sz w:val="24"/>
          <w:szCs w:val="24"/>
        </w:rPr>
      </w:pPr>
    </w:p>
    <w:p w:rsidR="00AF69FA" w:rsidRPr="00CD728B" w:rsidRDefault="00AF69FA" w:rsidP="002E7D47">
      <w:pPr>
        <w:pStyle w:val="Ttulo3"/>
        <w:numPr>
          <w:ilvl w:val="2"/>
          <w:numId w:val="18"/>
        </w:numPr>
        <w:contextualSpacing/>
        <w:jc w:val="both"/>
        <w:rPr>
          <w:rFonts w:ascii="Arial Narrow" w:hAnsi="Arial Narrow"/>
          <w:b/>
          <w:color w:val="auto"/>
        </w:rPr>
      </w:pPr>
      <w:bookmarkStart w:id="30" w:name="_Toc14293731"/>
      <w:r w:rsidRPr="00CD728B">
        <w:rPr>
          <w:rFonts w:ascii="Arial Narrow" w:hAnsi="Arial Narrow"/>
          <w:b/>
          <w:color w:val="auto"/>
        </w:rPr>
        <w:t xml:space="preserve">Análisis del </w:t>
      </w:r>
      <w:r w:rsidR="009D7771">
        <w:rPr>
          <w:rFonts w:ascii="Arial Narrow" w:hAnsi="Arial Narrow"/>
          <w:b/>
          <w:color w:val="auto"/>
        </w:rPr>
        <w:t>Artículo</w:t>
      </w:r>
      <w:r w:rsidRPr="00CD728B">
        <w:rPr>
          <w:rFonts w:ascii="Arial Narrow" w:hAnsi="Arial Narrow"/>
          <w:b/>
          <w:color w:val="auto"/>
        </w:rPr>
        <w:t xml:space="preserve"> 121 y sus respectivas fracciones</w:t>
      </w:r>
      <w:bookmarkEnd w:id="30"/>
    </w:p>
    <w:p w:rsidR="00EE5F08" w:rsidRPr="00CD728B" w:rsidRDefault="00EE5F08" w:rsidP="00EE5F08">
      <w:pPr>
        <w:rPr>
          <w:rFonts w:ascii="Arial Narrow" w:hAnsi="Arial Narrow"/>
        </w:rPr>
      </w:pPr>
    </w:p>
    <w:p w:rsidR="00AF69FA" w:rsidRPr="00CD728B" w:rsidRDefault="00AF69FA" w:rsidP="002E7D47">
      <w:pPr>
        <w:contextualSpacing/>
        <w:rPr>
          <w:rFonts w:ascii="Arial Narrow" w:hAnsi="Arial Narrow"/>
          <w:sz w:val="24"/>
          <w:szCs w:val="24"/>
        </w:rPr>
      </w:pPr>
      <w:r w:rsidRPr="00CD728B">
        <w:rPr>
          <w:rFonts w:ascii="Arial Narrow" w:hAnsi="Arial Narrow"/>
          <w:noProof/>
          <w:sz w:val="24"/>
          <w:szCs w:val="24"/>
          <w:lang w:val="es-MX" w:eastAsia="es-MX"/>
        </w:rPr>
        <w:drawing>
          <wp:inline distT="0" distB="0" distL="0" distR="0" wp14:anchorId="78E924BC" wp14:editId="23332634">
            <wp:extent cx="5162550" cy="3486150"/>
            <wp:effectExtent l="0" t="0" r="0" b="0"/>
            <wp:docPr id="5" name="Gráfico 5">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E31CA10-FA33-4734-BA39-7C7B1C9691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AF69FA" w:rsidRPr="00CD728B" w:rsidRDefault="00AF69FA" w:rsidP="002E7D47">
      <w:pPr>
        <w:spacing w:before="100" w:beforeAutospacing="1" w:after="100" w:afterAutospacing="1" w:line="360" w:lineRule="auto"/>
        <w:contextualSpacing/>
        <w:jc w:val="both"/>
        <w:rPr>
          <w:rFonts w:ascii="Arial Narrow" w:hAnsi="Arial Narrow" w:cs="Arial"/>
          <w:b/>
          <w:bCs/>
          <w:sz w:val="24"/>
          <w:szCs w:val="24"/>
        </w:rPr>
      </w:pPr>
    </w:p>
    <w:p w:rsidR="00AF69FA" w:rsidRPr="00CD728B" w:rsidRDefault="00AF69FA"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 xml:space="preserve">Los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de los fondos y fideicomisos públicos obtuvieron un ICP en este </w:t>
      </w:r>
      <w:r w:rsidR="009D7771">
        <w:rPr>
          <w:rFonts w:ascii="Arial Narrow" w:hAnsi="Arial Narrow" w:cs="Arial"/>
          <w:sz w:val="24"/>
          <w:szCs w:val="24"/>
        </w:rPr>
        <w:t>Artículo</w:t>
      </w:r>
      <w:r w:rsidRPr="00CD728B">
        <w:rPr>
          <w:rFonts w:ascii="Arial Narrow" w:hAnsi="Arial Narrow" w:cs="Arial"/>
          <w:sz w:val="24"/>
          <w:szCs w:val="24"/>
        </w:rPr>
        <w:t xml:space="preserve"> de 60.30%; por lo que se encuentra dentro del área de cumplimiento parcial. Las cuatro fracciones que </w:t>
      </w:r>
      <w:r w:rsidRPr="00CD728B">
        <w:rPr>
          <w:rFonts w:ascii="Arial Narrow" w:hAnsi="Arial Narrow" w:cs="Arial"/>
          <w:sz w:val="24"/>
          <w:szCs w:val="24"/>
        </w:rPr>
        <w:lastRenderedPageBreak/>
        <w:t xml:space="preserve">tienen mayor área de oportunidad, ya que se colocaron en un incumplimiento parcial entre 30.00%  y  32.10%  son las siguientes: </w:t>
      </w:r>
    </w:p>
    <w:p w:rsidR="00AF69FA" w:rsidRPr="00CD728B" w:rsidRDefault="00AF69FA" w:rsidP="002E7D47">
      <w:pPr>
        <w:pStyle w:val="Prrafodelista"/>
        <w:numPr>
          <w:ilvl w:val="0"/>
          <w:numId w:val="2"/>
        </w:numPr>
        <w:spacing w:before="100" w:beforeAutospacing="1" w:after="100" w:afterAutospacing="1" w:line="360" w:lineRule="auto"/>
        <w:jc w:val="both"/>
        <w:rPr>
          <w:rFonts w:ascii="Arial Narrow" w:hAnsi="Arial Narrow" w:cs="Arial"/>
          <w:sz w:val="24"/>
          <w:szCs w:val="24"/>
        </w:rPr>
      </w:pPr>
      <w:r w:rsidRPr="00CD728B">
        <w:rPr>
          <w:rFonts w:ascii="Arial Narrow" w:hAnsi="Arial Narrow" w:cs="Arial"/>
          <w:sz w:val="24"/>
          <w:szCs w:val="24"/>
        </w:rPr>
        <w:t xml:space="preserve">Fracción II, con un ICP de 30%, respecto a la estructura orgánica completa en un formato que permita vincular cada parte de la estructura, las atribuciones y responsabilidades que le corresponden a cada persona servidora pública, prestadora de servicios profesionales o miembro de los </w:t>
      </w:r>
      <w:r w:rsidR="003C3757" w:rsidRPr="00CD728B">
        <w:rPr>
          <w:rFonts w:ascii="Arial Narrow" w:hAnsi="Arial Narrow" w:cs="Arial"/>
          <w:sz w:val="24"/>
          <w:szCs w:val="24"/>
        </w:rPr>
        <w:t>Sujetos Obligados</w:t>
      </w:r>
      <w:r w:rsidRPr="00CD728B">
        <w:rPr>
          <w:rFonts w:ascii="Arial Narrow" w:hAnsi="Arial Narrow" w:cs="Arial"/>
          <w:sz w:val="24"/>
          <w:szCs w:val="24"/>
        </w:rPr>
        <w:t>; se identificó que no actualizaron la información conforme indica la normatividad vigente, así como tampoco fundaron ni motivaron la ausencia de ésta. Por último, deberán verificar los hipervínculos de acceso a la información.</w:t>
      </w:r>
    </w:p>
    <w:p w:rsidR="00EE5F08" w:rsidRPr="00CD728B" w:rsidRDefault="00EE5F08" w:rsidP="00EE5F08">
      <w:pPr>
        <w:pStyle w:val="Prrafodelista"/>
        <w:spacing w:before="100" w:beforeAutospacing="1" w:after="100" w:afterAutospacing="1" w:line="360" w:lineRule="auto"/>
        <w:jc w:val="both"/>
        <w:rPr>
          <w:rFonts w:ascii="Arial Narrow" w:hAnsi="Arial Narrow" w:cs="Arial"/>
          <w:sz w:val="24"/>
          <w:szCs w:val="24"/>
        </w:rPr>
      </w:pPr>
    </w:p>
    <w:p w:rsidR="00EE5F08" w:rsidRPr="00CD728B" w:rsidRDefault="00AF69FA" w:rsidP="00EE5F08">
      <w:pPr>
        <w:pStyle w:val="Prrafodelista"/>
        <w:numPr>
          <w:ilvl w:val="0"/>
          <w:numId w:val="2"/>
        </w:numPr>
        <w:spacing w:before="100" w:beforeAutospacing="1" w:after="100" w:afterAutospacing="1" w:line="360" w:lineRule="auto"/>
        <w:jc w:val="both"/>
        <w:rPr>
          <w:rFonts w:ascii="Arial Narrow" w:hAnsi="Arial Narrow" w:cs="Arial"/>
          <w:sz w:val="24"/>
          <w:szCs w:val="24"/>
        </w:rPr>
      </w:pPr>
      <w:r w:rsidRPr="00CD728B">
        <w:rPr>
          <w:rFonts w:ascii="Arial Narrow" w:hAnsi="Arial Narrow" w:cs="Arial"/>
          <w:sz w:val="24"/>
          <w:szCs w:val="24"/>
          <w:lang w:val="es-ES_tradnl"/>
        </w:rPr>
        <w:t xml:space="preserve">Fracción XXXV, con un ICP de 30.50%, en la cual se establece la publicación de los convenios de coordinación de concertación con los sectores sociales y privados; así como los convenios institucionales celebrados por el </w:t>
      </w:r>
      <w:r w:rsidR="005A4A11" w:rsidRPr="00CD728B">
        <w:rPr>
          <w:rFonts w:ascii="Arial Narrow" w:hAnsi="Arial Narrow" w:cs="Arial"/>
          <w:sz w:val="24"/>
          <w:szCs w:val="24"/>
          <w:lang w:val="es-ES_tradnl"/>
        </w:rPr>
        <w:t>Sujeto Obligado</w:t>
      </w:r>
      <w:r w:rsidRPr="00CD728B">
        <w:rPr>
          <w:rFonts w:ascii="Arial Narrow" w:hAnsi="Arial Narrow" w:cs="Arial"/>
          <w:sz w:val="24"/>
          <w:szCs w:val="24"/>
          <w:lang w:val="es-ES_tradnl"/>
        </w:rPr>
        <w:t xml:space="preserve">, especificando el tipo de convenio, con quien se celebró, objetivo, fecha y vigencia. Los </w:t>
      </w:r>
      <w:r w:rsidR="003C3757" w:rsidRPr="00CD728B">
        <w:rPr>
          <w:rFonts w:ascii="Arial Narrow" w:hAnsi="Arial Narrow" w:cs="Arial"/>
          <w:sz w:val="24"/>
          <w:szCs w:val="24"/>
          <w:lang w:val="es-ES_tradnl"/>
        </w:rPr>
        <w:t>Sujetos Obligados</w:t>
      </w:r>
      <w:r w:rsidRPr="00CD728B">
        <w:rPr>
          <w:rFonts w:ascii="Arial Narrow" w:hAnsi="Arial Narrow" w:cs="Arial"/>
          <w:sz w:val="24"/>
          <w:szCs w:val="24"/>
          <w:lang w:val="es-ES_tradnl"/>
        </w:rPr>
        <w:t xml:space="preserve"> no actualizaron la información conforme indica la normatividad vigente, tampoco fundaron ni motivaron las razones por las cuales no reportan. </w:t>
      </w:r>
    </w:p>
    <w:p w:rsidR="00EE5F08" w:rsidRPr="00CD728B" w:rsidRDefault="00EE5F08" w:rsidP="00EE5F08">
      <w:pPr>
        <w:pStyle w:val="Prrafodelista"/>
        <w:spacing w:before="100" w:beforeAutospacing="1" w:after="100" w:afterAutospacing="1" w:line="360" w:lineRule="auto"/>
        <w:jc w:val="both"/>
        <w:rPr>
          <w:rFonts w:ascii="Arial Narrow" w:hAnsi="Arial Narrow" w:cs="Arial"/>
          <w:sz w:val="24"/>
          <w:szCs w:val="24"/>
        </w:rPr>
      </w:pPr>
    </w:p>
    <w:p w:rsidR="00EE5F08" w:rsidRPr="00CD728B" w:rsidRDefault="00AF69FA" w:rsidP="00EE5F08">
      <w:pPr>
        <w:pStyle w:val="Prrafodelista"/>
        <w:numPr>
          <w:ilvl w:val="0"/>
          <w:numId w:val="2"/>
        </w:numPr>
        <w:spacing w:before="100" w:beforeAutospacing="1" w:after="100" w:afterAutospacing="1" w:line="360" w:lineRule="auto"/>
        <w:jc w:val="both"/>
        <w:rPr>
          <w:rFonts w:ascii="Arial Narrow" w:hAnsi="Arial Narrow" w:cs="Arial"/>
          <w:sz w:val="24"/>
          <w:szCs w:val="24"/>
          <w:lang w:val="es-ES_tradnl"/>
        </w:rPr>
      </w:pPr>
      <w:r w:rsidRPr="00CD728B">
        <w:rPr>
          <w:rFonts w:ascii="Arial Narrow" w:hAnsi="Arial Narrow" w:cs="Arial"/>
          <w:sz w:val="24"/>
          <w:szCs w:val="24"/>
          <w:lang w:val="es-ES_tradnl"/>
        </w:rPr>
        <w:t xml:space="preserve">Fracción XXXII, con un ICP de 30.60%, consistente en las estadísticas que generen los </w:t>
      </w:r>
      <w:r w:rsidR="003C3757" w:rsidRPr="00CD728B">
        <w:rPr>
          <w:rFonts w:ascii="Arial Narrow" w:hAnsi="Arial Narrow" w:cs="Arial"/>
          <w:sz w:val="24"/>
          <w:szCs w:val="24"/>
          <w:lang w:val="es-ES_tradnl"/>
        </w:rPr>
        <w:t>Sujetos Obligados</w:t>
      </w:r>
      <w:r w:rsidRPr="00CD728B">
        <w:rPr>
          <w:rFonts w:ascii="Arial Narrow" w:hAnsi="Arial Narrow" w:cs="Arial"/>
          <w:sz w:val="24"/>
          <w:szCs w:val="24"/>
          <w:lang w:val="es-ES_tradnl"/>
        </w:rPr>
        <w:t xml:space="preserve"> en cumplimiento de sus facultades, competencias o funciones con la mayor desagregación posible. Los </w:t>
      </w:r>
      <w:r w:rsidR="003C3757" w:rsidRPr="00CD728B">
        <w:rPr>
          <w:rFonts w:ascii="Arial Narrow" w:hAnsi="Arial Narrow" w:cs="Arial"/>
          <w:sz w:val="24"/>
          <w:szCs w:val="24"/>
          <w:lang w:val="es-ES_tradnl"/>
        </w:rPr>
        <w:t>Sujetos Obligados</w:t>
      </w:r>
      <w:r w:rsidRPr="00CD728B">
        <w:rPr>
          <w:rFonts w:ascii="Arial Narrow" w:hAnsi="Arial Narrow" w:cs="Arial"/>
          <w:sz w:val="24"/>
          <w:szCs w:val="24"/>
          <w:lang w:val="es-ES_tradnl"/>
        </w:rPr>
        <w:t xml:space="preserve"> no actualizaron la información conforme indica la normatividad vigente. En los casos donde no se publicó información se debe fundar y motivar las razones.</w:t>
      </w:r>
    </w:p>
    <w:p w:rsidR="00EE5F08" w:rsidRPr="00CD728B" w:rsidRDefault="00EE5F08" w:rsidP="00EE5F08">
      <w:pPr>
        <w:pStyle w:val="Prrafodelista"/>
        <w:spacing w:before="100" w:beforeAutospacing="1" w:after="100" w:afterAutospacing="1" w:line="360" w:lineRule="auto"/>
        <w:jc w:val="both"/>
        <w:rPr>
          <w:rFonts w:ascii="Arial Narrow" w:hAnsi="Arial Narrow" w:cs="Arial"/>
          <w:sz w:val="24"/>
          <w:szCs w:val="24"/>
          <w:lang w:val="es-ES_tradnl"/>
        </w:rPr>
      </w:pPr>
    </w:p>
    <w:p w:rsidR="00EE5F08" w:rsidRPr="00CD728B" w:rsidRDefault="00AF69FA" w:rsidP="00EE5F08">
      <w:pPr>
        <w:pStyle w:val="Prrafodelista"/>
        <w:numPr>
          <w:ilvl w:val="0"/>
          <w:numId w:val="2"/>
        </w:numPr>
        <w:spacing w:before="100" w:beforeAutospacing="1" w:after="100" w:afterAutospacing="1" w:line="360" w:lineRule="auto"/>
        <w:jc w:val="both"/>
        <w:rPr>
          <w:rFonts w:ascii="Arial Narrow" w:hAnsi="Arial Narrow" w:cs="Arial"/>
          <w:sz w:val="24"/>
          <w:szCs w:val="24"/>
        </w:rPr>
      </w:pPr>
      <w:r w:rsidRPr="00CD728B">
        <w:rPr>
          <w:rFonts w:ascii="Arial Narrow" w:hAnsi="Arial Narrow" w:cs="Arial"/>
          <w:sz w:val="24"/>
          <w:szCs w:val="24"/>
          <w:lang w:val="es-ES_tradnl"/>
        </w:rPr>
        <w:t xml:space="preserve">Fracción XI, con un ICP de 32.10%, respecto de la publicación del número total de plazas y del personal de base y confianza, especificando el total de las vacantes, por nivel de puesto, para cada unidad administrativa. Los </w:t>
      </w:r>
      <w:r w:rsidR="003C3757" w:rsidRPr="00CD728B">
        <w:rPr>
          <w:rFonts w:ascii="Arial Narrow" w:hAnsi="Arial Narrow" w:cs="Arial"/>
          <w:sz w:val="24"/>
          <w:szCs w:val="24"/>
          <w:lang w:val="es-ES_tradnl"/>
        </w:rPr>
        <w:t>Sujetos Obligados</w:t>
      </w:r>
      <w:r w:rsidRPr="00CD728B">
        <w:rPr>
          <w:rFonts w:ascii="Arial Narrow" w:hAnsi="Arial Narrow" w:cs="Arial"/>
          <w:sz w:val="24"/>
          <w:szCs w:val="24"/>
          <w:lang w:val="es-ES_tradnl"/>
        </w:rPr>
        <w:t xml:space="preserve"> no actualizaron la información </w:t>
      </w:r>
      <w:r w:rsidRPr="00CD728B">
        <w:rPr>
          <w:rFonts w:ascii="Arial Narrow" w:hAnsi="Arial Narrow" w:cs="Arial"/>
          <w:sz w:val="24"/>
          <w:szCs w:val="24"/>
          <w:lang w:val="es-ES_tradnl"/>
        </w:rPr>
        <w:lastRenderedPageBreak/>
        <w:t xml:space="preserve">conforme indica la normatividad vigente, tampoco fundaron ni motivaron las razones por las cuales no reportan. </w:t>
      </w:r>
    </w:p>
    <w:p w:rsidR="00EE5F08" w:rsidRPr="00CD728B" w:rsidRDefault="00EE5F08" w:rsidP="00EE5F08">
      <w:pPr>
        <w:pStyle w:val="Prrafodelista"/>
        <w:spacing w:before="100" w:beforeAutospacing="1" w:after="100" w:afterAutospacing="1" w:line="360" w:lineRule="auto"/>
        <w:jc w:val="both"/>
        <w:rPr>
          <w:rFonts w:ascii="Arial Narrow" w:hAnsi="Arial Narrow" w:cs="Arial"/>
          <w:sz w:val="24"/>
          <w:szCs w:val="24"/>
        </w:rPr>
      </w:pPr>
    </w:p>
    <w:p w:rsidR="00AF69FA" w:rsidRPr="00CD728B" w:rsidRDefault="00AF69FA" w:rsidP="002E7D47">
      <w:pPr>
        <w:spacing w:before="100" w:beforeAutospacing="1" w:after="100" w:afterAutospacing="1" w:line="360" w:lineRule="auto"/>
        <w:ind w:left="360"/>
        <w:contextualSpacing/>
        <w:jc w:val="both"/>
        <w:rPr>
          <w:rFonts w:ascii="Arial Narrow" w:hAnsi="Arial Narrow" w:cs="Arial"/>
          <w:sz w:val="24"/>
          <w:szCs w:val="24"/>
        </w:rPr>
      </w:pPr>
      <w:r w:rsidRPr="00CD728B">
        <w:rPr>
          <w:rFonts w:ascii="Arial Narrow" w:hAnsi="Arial Narrow" w:cs="Arial"/>
          <w:sz w:val="24"/>
          <w:szCs w:val="24"/>
        </w:rPr>
        <w:t xml:space="preserve">De igual </w:t>
      </w:r>
      <w:r w:rsidR="00CB0FC2" w:rsidRPr="00CD728B">
        <w:rPr>
          <w:rFonts w:ascii="Arial Narrow" w:hAnsi="Arial Narrow" w:cs="Arial"/>
          <w:sz w:val="24"/>
          <w:szCs w:val="24"/>
        </w:rPr>
        <w:t xml:space="preserve">forma, las tres fracciones con </w:t>
      </w:r>
      <w:r w:rsidRPr="00CD728B">
        <w:rPr>
          <w:rFonts w:ascii="Arial Narrow" w:hAnsi="Arial Narrow" w:cs="Arial"/>
          <w:sz w:val="24"/>
          <w:szCs w:val="24"/>
        </w:rPr>
        <w:t>un ICP ubicadas en el rango de 83.40% a 98.40% son las que se detallan a continuación:</w:t>
      </w:r>
    </w:p>
    <w:p w:rsidR="00AF69FA" w:rsidRPr="00CD728B" w:rsidRDefault="00AF69FA" w:rsidP="002E7D47">
      <w:pPr>
        <w:pStyle w:val="Prrafodelista"/>
        <w:numPr>
          <w:ilvl w:val="0"/>
          <w:numId w:val="2"/>
        </w:numPr>
        <w:spacing w:before="100" w:beforeAutospacing="1" w:after="100" w:afterAutospacing="1" w:line="360" w:lineRule="auto"/>
        <w:jc w:val="both"/>
        <w:rPr>
          <w:rFonts w:ascii="Arial Narrow" w:hAnsi="Arial Narrow" w:cs="Arial"/>
          <w:sz w:val="24"/>
          <w:szCs w:val="24"/>
        </w:rPr>
      </w:pPr>
      <w:r w:rsidRPr="00CD728B">
        <w:rPr>
          <w:rFonts w:ascii="Arial Narrow" w:hAnsi="Arial Narrow" w:cs="Arial"/>
          <w:sz w:val="24"/>
          <w:szCs w:val="24"/>
          <w:lang w:val="es-ES_tradnl"/>
        </w:rPr>
        <w:t xml:space="preserve">Fracción LIV, se obtuvo un ICP de 83.4% consistente en la información de las personas beneficiadas, la temporalidad, los montos, y todo aquello relacionado con los incentivos, condonaciones o reducciones fiscales, concesiones, permisos o licencias por virtud de las cuales se usen, gocen, disfruten o exploten bienes públicos. Se identificó que los </w:t>
      </w:r>
      <w:r w:rsidR="003C3757" w:rsidRPr="00CD728B">
        <w:rPr>
          <w:rFonts w:ascii="Arial Narrow" w:hAnsi="Arial Narrow" w:cs="Arial"/>
          <w:sz w:val="24"/>
          <w:szCs w:val="24"/>
          <w:lang w:val="es-ES_tradnl"/>
        </w:rPr>
        <w:t>Sujetos Obligados</w:t>
      </w:r>
      <w:r w:rsidRPr="00CD728B">
        <w:rPr>
          <w:rFonts w:ascii="Arial Narrow" w:hAnsi="Arial Narrow" w:cs="Arial"/>
          <w:sz w:val="24"/>
          <w:szCs w:val="24"/>
          <w:lang w:val="es-ES_tradnl"/>
        </w:rPr>
        <w:t xml:space="preserve"> no actualizaron la información conforme indica la normatividad vigente, tampoco fundaron ni motivaron las razones por las cuales no reportan. </w:t>
      </w:r>
    </w:p>
    <w:p w:rsidR="00EE5F08" w:rsidRPr="00CD728B" w:rsidRDefault="00EE5F08" w:rsidP="00EE5F08">
      <w:pPr>
        <w:pStyle w:val="Prrafodelista"/>
        <w:spacing w:before="100" w:beforeAutospacing="1" w:after="100" w:afterAutospacing="1" w:line="360" w:lineRule="auto"/>
        <w:jc w:val="both"/>
        <w:rPr>
          <w:rFonts w:ascii="Arial Narrow" w:hAnsi="Arial Narrow" w:cs="Arial"/>
          <w:sz w:val="24"/>
          <w:szCs w:val="24"/>
        </w:rPr>
      </w:pPr>
    </w:p>
    <w:p w:rsidR="00AF69FA" w:rsidRPr="00CD728B" w:rsidRDefault="00AF69FA" w:rsidP="002E7D47">
      <w:pPr>
        <w:pStyle w:val="Prrafodelista"/>
        <w:numPr>
          <w:ilvl w:val="0"/>
          <w:numId w:val="3"/>
        </w:numPr>
        <w:spacing w:before="100" w:beforeAutospacing="1" w:after="100" w:afterAutospacing="1" w:line="360" w:lineRule="auto"/>
        <w:jc w:val="both"/>
        <w:rPr>
          <w:rFonts w:ascii="Arial Narrow" w:hAnsi="Arial Narrow" w:cs="Arial"/>
          <w:sz w:val="24"/>
          <w:szCs w:val="24"/>
          <w:lang w:val="es-ES_tradnl"/>
        </w:rPr>
      </w:pPr>
      <w:r w:rsidRPr="00CD728B">
        <w:rPr>
          <w:rFonts w:ascii="Arial Narrow" w:hAnsi="Arial Narrow" w:cs="Arial"/>
          <w:sz w:val="24"/>
          <w:szCs w:val="24"/>
          <w:lang w:val="es-ES_tradnl"/>
        </w:rPr>
        <w:t>Fracción XIV, se obtuvo un ICP de 83.7</w:t>
      </w:r>
      <w:r w:rsidR="00BC3D51" w:rsidRPr="00CD728B">
        <w:rPr>
          <w:rFonts w:ascii="Arial Narrow" w:hAnsi="Arial Narrow" w:cs="Arial"/>
          <w:sz w:val="24"/>
          <w:szCs w:val="24"/>
          <w:lang w:val="es-ES_tradnl"/>
        </w:rPr>
        <w:t xml:space="preserve">0% respecto del domicilio de la </w:t>
      </w:r>
      <w:r w:rsidRPr="00CD728B">
        <w:rPr>
          <w:rFonts w:ascii="Arial Narrow" w:hAnsi="Arial Narrow" w:cs="Arial"/>
          <w:sz w:val="24"/>
          <w:szCs w:val="24"/>
          <w:lang w:val="es-ES_tradnl"/>
        </w:rPr>
        <w:t xml:space="preserve">Unidad de Transparencia, además de la dirección electrónica donde podrán recibirse las solicitudes para obtener la información. Los </w:t>
      </w:r>
      <w:r w:rsidR="003C3757" w:rsidRPr="00CD728B">
        <w:rPr>
          <w:rFonts w:ascii="Arial Narrow" w:hAnsi="Arial Narrow" w:cs="Arial"/>
          <w:sz w:val="24"/>
          <w:szCs w:val="24"/>
          <w:lang w:val="es-ES_tradnl"/>
        </w:rPr>
        <w:t>Sujetos Obligados</w:t>
      </w:r>
      <w:r w:rsidRPr="00CD728B">
        <w:rPr>
          <w:rFonts w:ascii="Arial Narrow" w:hAnsi="Arial Narrow" w:cs="Arial"/>
          <w:sz w:val="24"/>
          <w:szCs w:val="24"/>
          <w:lang w:val="es-ES_tradnl"/>
        </w:rPr>
        <w:t xml:space="preserve"> no actualizaron la información conforme indica la normatividad vigente, se recomienda que en el caso de no contar con datos se funde y motive.</w:t>
      </w:r>
    </w:p>
    <w:p w:rsidR="00EE5F08" w:rsidRPr="00CD728B" w:rsidRDefault="00EE5F08" w:rsidP="00EE5F08">
      <w:pPr>
        <w:pStyle w:val="Prrafodelista"/>
        <w:spacing w:before="100" w:beforeAutospacing="1" w:after="100" w:afterAutospacing="1" w:line="360" w:lineRule="auto"/>
        <w:jc w:val="both"/>
        <w:rPr>
          <w:rFonts w:ascii="Arial Narrow" w:hAnsi="Arial Narrow" w:cs="Arial"/>
          <w:sz w:val="24"/>
          <w:szCs w:val="24"/>
          <w:lang w:val="es-ES_tradnl"/>
        </w:rPr>
      </w:pPr>
    </w:p>
    <w:p w:rsidR="00EE5F08" w:rsidRPr="00CD728B" w:rsidRDefault="00AF69FA" w:rsidP="00EE5F08">
      <w:pPr>
        <w:pStyle w:val="Prrafodelista"/>
        <w:numPr>
          <w:ilvl w:val="0"/>
          <w:numId w:val="3"/>
        </w:numPr>
        <w:spacing w:before="100" w:beforeAutospacing="1" w:after="100" w:afterAutospacing="1" w:line="360" w:lineRule="auto"/>
        <w:jc w:val="both"/>
        <w:rPr>
          <w:rFonts w:ascii="Arial Narrow" w:hAnsi="Arial Narrow" w:cs="Arial"/>
          <w:sz w:val="24"/>
          <w:szCs w:val="24"/>
        </w:rPr>
      </w:pPr>
      <w:r w:rsidRPr="00CD728B">
        <w:rPr>
          <w:rFonts w:ascii="Arial Narrow" w:hAnsi="Arial Narrow" w:cs="Arial"/>
          <w:sz w:val="24"/>
          <w:szCs w:val="24"/>
          <w:lang w:val="es-ES_tradnl"/>
        </w:rPr>
        <w:t xml:space="preserve">Fracción XXXIX, se obtuvo un ICP de 98.40% respecto de las resoluciones y laudos que se emitieron en procesos o procedimientos seguidos en forma de juicio. Los </w:t>
      </w:r>
      <w:r w:rsidR="003C3757" w:rsidRPr="00CD728B">
        <w:rPr>
          <w:rFonts w:ascii="Arial Narrow" w:hAnsi="Arial Narrow" w:cs="Arial"/>
          <w:sz w:val="24"/>
          <w:szCs w:val="24"/>
          <w:lang w:val="es-ES_tradnl"/>
        </w:rPr>
        <w:t>Sujetos Obligados</w:t>
      </w:r>
      <w:r w:rsidRPr="00CD728B">
        <w:rPr>
          <w:rFonts w:ascii="Arial Narrow" w:hAnsi="Arial Narrow" w:cs="Arial"/>
          <w:sz w:val="24"/>
          <w:szCs w:val="24"/>
          <w:lang w:val="es-ES_tradnl"/>
        </w:rPr>
        <w:t xml:space="preserve"> no publicaron la información por lo que deberán indicar la ausencia de información con la fundamentación y motivación correspondiente</w:t>
      </w:r>
      <w:r w:rsidRPr="00CD728B">
        <w:rPr>
          <w:rFonts w:ascii="Arial Narrow" w:hAnsi="Arial Narrow" w:cs="Arial"/>
          <w:sz w:val="24"/>
          <w:szCs w:val="24"/>
        </w:rPr>
        <w:t>.</w:t>
      </w:r>
    </w:p>
    <w:p w:rsidR="00EE5F08" w:rsidRPr="00CD728B" w:rsidRDefault="00EE5F08" w:rsidP="00EE5F08">
      <w:pPr>
        <w:pStyle w:val="Prrafodelista"/>
        <w:spacing w:before="100" w:beforeAutospacing="1" w:after="100" w:afterAutospacing="1" w:line="360" w:lineRule="auto"/>
        <w:jc w:val="both"/>
        <w:rPr>
          <w:rFonts w:ascii="Arial Narrow" w:hAnsi="Arial Narrow" w:cs="Arial"/>
          <w:sz w:val="24"/>
          <w:szCs w:val="24"/>
        </w:rPr>
      </w:pPr>
    </w:p>
    <w:p w:rsidR="00EE5F08" w:rsidRPr="00CD728B" w:rsidRDefault="00AF69FA" w:rsidP="00EE5F08">
      <w:pPr>
        <w:pStyle w:val="Ttulo3"/>
        <w:numPr>
          <w:ilvl w:val="2"/>
          <w:numId w:val="18"/>
        </w:numPr>
        <w:contextualSpacing/>
        <w:jc w:val="both"/>
        <w:rPr>
          <w:rFonts w:ascii="Arial Narrow" w:hAnsi="Arial Narrow"/>
          <w:b/>
          <w:color w:val="auto"/>
        </w:rPr>
      </w:pPr>
      <w:bookmarkStart w:id="31" w:name="_Toc14293732"/>
      <w:r w:rsidRPr="00CD728B">
        <w:rPr>
          <w:rFonts w:ascii="Arial Narrow" w:hAnsi="Arial Narrow"/>
          <w:b/>
          <w:color w:val="auto"/>
        </w:rPr>
        <w:lastRenderedPageBreak/>
        <w:t xml:space="preserve">Análisis del </w:t>
      </w:r>
      <w:r w:rsidR="009D7771">
        <w:rPr>
          <w:rFonts w:ascii="Arial Narrow" w:hAnsi="Arial Narrow"/>
          <w:b/>
          <w:color w:val="auto"/>
        </w:rPr>
        <w:t>Artículo</w:t>
      </w:r>
      <w:r w:rsidRPr="00CD728B">
        <w:rPr>
          <w:rFonts w:ascii="Arial Narrow" w:hAnsi="Arial Narrow"/>
          <w:b/>
          <w:color w:val="auto"/>
        </w:rPr>
        <w:t xml:space="preserve"> 135 y sus respectivas fracciones</w:t>
      </w:r>
      <w:bookmarkEnd w:id="31"/>
    </w:p>
    <w:p w:rsidR="00AF69FA" w:rsidRPr="00CD728B" w:rsidRDefault="00AF69FA" w:rsidP="002E7D47">
      <w:pPr>
        <w:spacing w:before="100" w:beforeAutospacing="1" w:after="100" w:afterAutospacing="1" w:line="360" w:lineRule="auto"/>
        <w:contextualSpacing/>
        <w:jc w:val="both"/>
        <w:rPr>
          <w:rFonts w:ascii="Arial Narrow" w:hAnsi="Arial Narrow" w:cs="Arial"/>
          <w:b/>
          <w:bCs/>
          <w:sz w:val="24"/>
          <w:szCs w:val="24"/>
        </w:rPr>
      </w:pPr>
      <w:r w:rsidRPr="00CD728B">
        <w:rPr>
          <w:rFonts w:ascii="Arial Narrow" w:hAnsi="Arial Narrow"/>
          <w:noProof/>
          <w:sz w:val="24"/>
          <w:szCs w:val="24"/>
          <w:lang w:val="es-MX" w:eastAsia="es-MX"/>
        </w:rPr>
        <w:drawing>
          <wp:inline distT="0" distB="0" distL="0" distR="0" wp14:anchorId="7C4D4D90" wp14:editId="3CA581C0">
            <wp:extent cx="5286375" cy="3019425"/>
            <wp:effectExtent l="0" t="0" r="9525" b="9525"/>
            <wp:docPr id="6" name="Gráfico 6">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9DA9147-E4FE-4B82-922F-CA4BCEF292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E5F08" w:rsidRPr="00CD728B" w:rsidRDefault="00EE5F08" w:rsidP="002E7D47">
      <w:pPr>
        <w:spacing w:before="100" w:beforeAutospacing="1" w:after="100" w:afterAutospacing="1" w:line="360" w:lineRule="auto"/>
        <w:contextualSpacing/>
        <w:jc w:val="both"/>
        <w:rPr>
          <w:rFonts w:ascii="Arial Narrow" w:hAnsi="Arial Narrow" w:cs="Arial"/>
          <w:sz w:val="24"/>
          <w:szCs w:val="24"/>
        </w:rPr>
      </w:pPr>
    </w:p>
    <w:p w:rsidR="00AF69FA" w:rsidRPr="00CD728B" w:rsidRDefault="00AF69FA"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 xml:space="preserve">Los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obtuvieron un ICP de 59.91%; por lo que se encuentra dentro del área de incumplimiento parcial. Las tres fracciones con mayor área de oportunidad, ya que se colocaron en un incumplimiento p</w:t>
      </w:r>
      <w:r w:rsidR="00BC3D51" w:rsidRPr="00CD728B">
        <w:rPr>
          <w:rFonts w:ascii="Arial Narrow" w:hAnsi="Arial Narrow" w:cs="Arial"/>
          <w:sz w:val="24"/>
          <w:szCs w:val="24"/>
        </w:rPr>
        <w:t>arcial entre 54.83% y 58.59%,</w:t>
      </w:r>
      <w:r w:rsidRPr="00CD728B">
        <w:rPr>
          <w:rFonts w:ascii="Arial Narrow" w:hAnsi="Arial Narrow" w:cs="Arial"/>
          <w:sz w:val="24"/>
          <w:szCs w:val="24"/>
        </w:rPr>
        <w:t xml:space="preserve"> son las siguientes: </w:t>
      </w:r>
    </w:p>
    <w:p w:rsidR="00AF69FA" w:rsidRPr="00CD728B" w:rsidRDefault="00AF69FA" w:rsidP="002E7D47">
      <w:pPr>
        <w:pStyle w:val="Prrafodelista"/>
        <w:numPr>
          <w:ilvl w:val="0"/>
          <w:numId w:val="7"/>
        </w:numPr>
        <w:spacing w:before="100" w:beforeAutospacing="1" w:after="100" w:afterAutospacing="1" w:line="360" w:lineRule="auto"/>
        <w:jc w:val="both"/>
        <w:rPr>
          <w:rFonts w:ascii="Arial Narrow" w:hAnsi="Arial Narrow" w:cs="Arial"/>
          <w:sz w:val="24"/>
          <w:szCs w:val="24"/>
        </w:rPr>
      </w:pPr>
      <w:r w:rsidRPr="00CD728B">
        <w:rPr>
          <w:rFonts w:ascii="Arial Narrow" w:hAnsi="Arial Narrow" w:cs="Arial"/>
          <w:sz w:val="24"/>
          <w:szCs w:val="24"/>
        </w:rPr>
        <w:t>Fracción VIII, con un ICP de 54.83% en la cual se establece la publicación de los contratos de obra</w:t>
      </w:r>
      <w:r w:rsidR="00EE5F08" w:rsidRPr="00CD728B">
        <w:rPr>
          <w:rFonts w:ascii="Arial Narrow" w:hAnsi="Arial Narrow" w:cs="Arial"/>
          <w:sz w:val="24"/>
          <w:szCs w:val="24"/>
        </w:rPr>
        <w:t>s</w:t>
      </w:r>
      <w:r w:rsidRPr="00CD728B">
        <w:rPr>
          <w:rFonts w:ascii="Arial Narrow" w:hAnsi="Arial Narrow" w:cs="Arial"/>
          <w:sz w:val="24"/>
          <w:szCs w:val="24"/>
        </w:rPr>
        <w:t xml:space="preserve">, adquisiciones y servicios que involucran recursos públicos, así como los horarios derivados de los servicios y operaciones que realice la institución de crédito o la fiduciaria. Los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no actualizaron la información conforme indica la normatividad vigente y en algunos casos no la publicaron, ni fundaron ni motivaron las razones de su ausencia.</w:t>
      </w:r>
    </w:p>
    <w:p w:rsidR="00EE5F08" w:rsidRPr="00CD728B" w:rsidRDefault="00EE5F08" w:rsidP="00EE5F08">
      <w:pPr>
        <w:pStyle w:val="Prrafodelista"/>
        <w:spacing w:before="100" w:beforeAutospacing="1" w:after="100" w:afterAutospacing="1" w:line="360" w:lineRule="auto"/>
        <w:jc w:val="both"/>
        <w:rPr>
          <w:rFonts w:ascii="Arial Narrow" w:hAnsi="Arial Narrow" w:cs="Arial"/>
          <w:sz w:val="24"/>
          <w:szCs w:val="24"/>
        </w:rPr>
      </w:pPr>
    </w:p>
    <w:p w:rsidR="00EE5F08" w:rsidRPr="00CD728B" w:rsidRDefault="00AF69FA" w:rsidP="00EE5F08">
      <w:pPr>
        <w:pStyle w:val="Prrafodelista"/>
        <w:numPr>
          <w:ilvl w:val="0"/>
          <w:numId w:val="7"/>
        </w:numPr>
        <w:spacing w:before="100" w:beforeAutospacing="1" w:after="100" w:afterAutospacing="1" w:line="360" w:lineRule="auto"/>
        <w:jc w:val="both"/>
        <w:rPr>
          <w:rFonts w:ascii="Arial Narrow" w:hAnsi="Arial Narrow" w:cs="Arial"/>
          <w:sz w:val="24"/>
          <w:szCs w:val="24"/>
        </w:rPr>
      </w:pPr>
      <w:r w:rsidRPr="00CD728B">
        <w:rPr>
          <w:rFonts w:ascii="Arial Narrow" w:hAnsi="Arial Narrow" w:cs="Arial"/>
          <w:sz w:val="24"/>
          <w:szCs w:val="24"/>
        </w:rPr>
        <w:t xml:space="preserve">Fracción IV, con un ICP de 57.23%, respecto del saldo total al cierre del ejercicio fiscal, sin perjuicio de los demás informes que deban presentarse en los términos de las disposiciones aplicables formato correcto. El </w:t>
      </w:r>
      <w:r w:rsidR="005A4A11" w:rsidRPr="00CD728B">
        <w:rPr>
          <w:rFonts w:ascii="Arial Narrow" w:hAnsi="Arial Narrow" w:cs="Arial"/>
          <w:sz w:val="24"/>
          <w:szCs w:val="24"/>
        </w:rPr>
        <w:t>Sujeto Obligado</w:t>
      </w:r>
      <w:r w:rsidRPr="00CD728B">
        <w:rPr>
          <w:rFonts w:ascii="Arial Narrow" w:hAnsi="Arial Narrow" w:cs="Arial"/>
          <w:sz w:val="24"/>
          <w:szCs w:val="24"/>
        </w:rPr>
        <w:t xml:space="preserve"> no publicó información, </w:t>
      </w:r>
      <w:r w:rsidR="00BC3D51" w:rsidRPr="00CD728B">
        <w:rPr>
          <w:rFonts w:ascii="Arial Narrow" w:hAnsi="Arial Narrow" w:cs="Arial"/>
          <w:sz w:val="24"/>
          <w:szCs w:val="24"/>
        </w:rPr>
        <w:t xml:space="preserve">tampoco </w:t>
      </w:r>
      <w:r w:rsidRPr="00CD728B">
        <w:rPr>
          <w:rFonts w:ascii="Arial Narrow" w:hAnsi="Arial Narrow" w:cs="Arial"/>
          <w:sz w:val="24"/>
          <w:szCs w:val="24"/>
        </w:rPr>
        <w:t xml:space="preserve">fundó ni </w:t>
      </w:r>
      <w:r w:rsidRPr="00CD728B">
        <w:rPr>
          <w:rFonts w:ascii="Arial Narrow" w:hAnsi="Arial Narrow" w:cs="Arial"/>
          <w:sz w:val="24"/>
          <w:szCs w:val="24"/>
        </w:rPr>
        <w:lastRenderedPageBreak/>
        <w:t xml:space="preserve">motivó las razones por las que no se generó. Por otra parte, el </w:t>
      </w:r>
      <w:r w:rsidR="005A4A11" w:rsidRPr="00CD728B">
        <w:rPr>
          <w:rFonts w:ascii="Arial Narrow" w:hAnsi="Arial Narrow" w:cs="Arial"/>
          <w:sz w:val="24"/>
          <w:szCs w:val="24"/>
        </w:rPr>
        <w:t>Sujeto Obligado</w:t>
      </w:r>
      <w:r w:rsidRPr="00CD728B">
        <w:rPr>
          <w:rFonts w:ascii="Arial Narrow" w:hAnsi="Arial Narrow" w:cs="Arial"/>
          <w:sz w:val="24"/>
          <w:szCs w:val="24"/>
        </w:rPr>
        <w:t xml:space="preserve"> deberá publicar la fracción en el formato correspondiente toda vez que se identificó que en algunos casos no utilizan el que se descarga en la PNT.</w:t>
      </w:r>
    </w:p>
    <w:p w:rsidR="00EE5F08" w:rsidRPr="00CD728B" w:rsidRDefault="00EE5F08" w:rsidP="00EE5F08">
      <w:pPr>
        <w:pStyle w:val="Prrafodelista"/>
        <w:spacing w:before="100" w:beforeAutospacing="1" w:after="100" w:afterAutospacing="1" w:line="360" w:lineRule="auto"/>
        <w:jc w:val="both"/>
        <w:rPr>
          <w:rFonts w:ascii="Arial Narrow" w:hAnsi="Arial Narrow" w:cs="Arial"/>
          <w:sz w:val="24"/>
          <w:szCs w:val="24"/>
        </w:rPr>
      </w:pPr>
    </w:p>
    <w:p w:rsidR="00EE5F08" w:rsidRPr="00CD728B" w:rsidRDefault="00AF69FA" w:rsidP="00EE5F08">
      <w:pPr>
        <w:pStyle w:val="Prrafodelista"/>
        <w:numPr>
          <w:ilvl w:val="0"/>
          <w:numId w:val="7"/>
        </w:numPr>
        <w:spacing w:before="100" w:beforeAutospacing="1" w:after="100" w:afterAutospacing="1" w:line="360" w:lineRule="auto"/>
        <w:jc w:val="both"/>
        <w:rPr>
          <w:rFonts w:ascii="Arial Narrow" w:hAnsi="Arial Narrow" w:cs="Arial"/>
          <w:sz w:val="24"/>
          <w:szCs w:val="24"/>
        </w:rPr>
      </w:pPr>
      <w:r w:rsidRPr="00CD728B">
        <w:rPr>
          <w:rFonts w:ascii="Arial Narrow" w:hAnsi="Arial Narrow" w:cs="Arial"/>
          <w:sz w:val="24"/>
          <w:szCs w:val="24"/>
        </w:rPr>
        <w:t xml:space="preserve">Fracción X, con un ICP de 58.59%, sobre el impacto social derivado del cumplimiento de las acciones que realiza el fideicomiso o fondo público. Se identificó que el </w:t>
      </w:r>
      <w:r w:rsidR="005A4A11" w:rsidRPr="00CD728B">
        <w:rPr>
          <w:rFonts w:ascii="Arial Narrow" w:hAnsi="Arial Narrow" w:cs="Arial"/>
          <w:sz w:val="24"/>
          <w:szCs w:val="24"/>
        </w:rPr>
        <w:t>Sujeto Obligado</w:t>
      </w:r>
      <w:r w:rsidRPr="00CD728B">
        <w:rPr>
          <w:rFonts w:ascii="Arial Narrow" w:hAnsi="Arial Narrow" w:cs="Arial"/>
          <w:sz w:val="24"/>
          <w:szCs w:val="24"/>
        </w:rPr>
        <w:t xml:space="preserve"> no publicó información y en otros casos omitió datos de algunos de los criterios, por lo que deberá indicar las razones de su ausencia, fundando y motivando. El </w:t>
      </w:r>
      <w:r w:rsidR="005A4A11" w:rsidRPr="00CD728B">
        <w:rPr>
          <w:rFonts w:ascii="Arial Narrow" w:hAnsi="Arial Narrow" w:cs="Arial"/>
          <w:sz w:val="24"/>
          <w:szCs w:val="24"/>
        </w:rPr>
        <w:t>Sujeto Obligado</w:t>
      </w:r>
      <w:r w:rsidRPr="00CD728B">
        <w:rPr>
          <w:rFonts w:ascii="Arial Narrow" w:hAnsi="Arial Narrow" w:cs="Arial"/>
          <w:sz w:val="24"/>
          <w:szCs w:val="24"/>
        </w:rPr>
        <w:t xml:space="preserve"> deberá publicar la fracción en el formato correcto toda vez que se identificó que en algunos casos no utilizan el que se descarga en la PNT.</w:t>
      </w:r>
    </w:p>
    <w:p w:rsidR="00EE5F08" w:rsidRPr="00CD728B" w:rsidRDefault="00EE5F08" w:rsidP="00EE5F08">
      <w:pPr>
        <w:pStyle w:val="Prrafodelista"/>
        <w:spacing w:before="100" w:beforeAutospacing="1" w:after="100" w:afterAutospacing="1" w:line="360" w:lineRule="auto"/>
        <w:jc w:val="both"/>
        <w:rPr>
          <w:rFonts w:ascii="Arial Narrow" w:hAnsi="Arial Narrow" w:cs="Arial"/>
          <w:sz w:val="24"/>
          <w:szCs w:val="24"/>
        </w:rPr>
      </w:pPr>
    </w:p>
    <w:p w:rsidR="00EE5F08" w:rsidRPr="00CD728B" w:rsidRDefault="00AF69FA" w:rsidP="00EE5F08">
      <w:pPr>
        <w:pStyle w:val="Prrafodelista"/>
        <w:numPr>
          <w:ilvl w:val="0"/>
          <w:numId w:val="7"/>
        </w:numPr>
        <w:spacing w:before="100" w:beforeAutospacing="1" w:after="100" w:afterAutospacing="1" w:line="360" w:lineRule="auto"/>
        <w:jc w:val="both"/>
        <w:rPr>
          <w:rFonts w:ascii="Arial Narrow" w:hAnsi="Arial Narrow" w:cs="Arial"/>
          <w:sz w:val="24"/>
          <w:szCs w:val="24"/>
        </w:rPr>
      </w:pPr>
      <w:r w:rsidRPr="00CD728B">
        <w:rPr>
          <w:rFonts w:ascii="Arial Narrow" w:hAnsi="Arial Narrow" w:cs="Arial"/>
          <w:sz w:val="24"/>
          <w:szCs w:val="24"/>
        </w:rPr>
        <w:t>De i</w:t>
      </w:r>
      <w:r w:rsidR="00BC3D51" w:rsidRPr="00CD728B">
        <w:rPr>
          <w:rFonts w:ascii="Arial Narrow" w:hAnsi="Arial Narrow" w:cs="Arial"/>
          <w:sz w:val="24"/>
          <w:szCs w:val="24"/>
        </w:rPr>
        <w:t xml:space="preserve">gual forma, la fracción con el </w:t>
      </w:r>
      <w:r w:rsidRPr="00CD728B">
        <w:rPr>
          <w:rFonts w:ascii="Arial Narrow" w:hAnsi="Arial Narrow" w:cs="Arial"/>
          <w:sz w:val="24"/>
          <w:szCs w:val="24"/>
        </w:rPr>
        <w:t>ICP más alto (68.04%) fue la V, relativa a las modificaciones que</w:t>
      </w:r>
      <w:r w:rsidR="00EE5F08" w:rsidRPr="00CD728B">
        <w:rPr>
          <w:rFonts w:ascii="Arial Narrow" w:hAnsi="Arial Narrow" w:cs="Arial"/>
          <w:sz w:val="24"/>
          <w:szCs w:val="24"/>
        </w:rPr>
        <w:t>,</w:t>
      </w:r>
      <w:r w:rsidRPr="00CD728B">
        <w:rPr>
          <w:rFonts w:ascii="Arial Narrow" w:hAnsi="Arial Narrow" w:cs="Arial"/>
          <w:sz w:val="24"/>
          <w:szCs w:val="24"/>
        </w:rPr>
        <w:t xml:space="preserve"> en su caso sufran los contratos o decretos de constitución del fideicomiso o fondo público, derivado de la revisión. Se identificó que el </w:t>
      </w:r>
      <w:r w:rsidR="005A4A11" w:rsidRPr="00CD728B">
        <w:rPr>
          <w:rFonts w:ascii="Arial Narrow" w:hAnsi="Arial Narrow" w:cs="Arial"/>
          <w:sz w:val="24"/>
          <w:szCs w:val="24"/>
        </w:rPr>
        <w:t>Sujeto Obligado</w:t>
      </w:r>
      <w:r w:rsidRPr="00CD728B">
        <w:rPr>
          <w:rFonts w:ascii="Arial Narrow" w:hAnsi="Arial Narrow" w:cs="Arial"/>
          <w:sz w:val="24"/>
          <w:szCs w:val="24"/>
        </w:rPr>
        <w:t xml:space="preserve"> no publicó información ni tampoco fundó ni motivó las razones por las que no se generó.</w:t>
      </w:r>
    </w:p>
    <w:p w:rsidR="00EE5F08" w:rsidRPr="00CD728B" w:rsidRDefault="00EE5F08" w:rsidP="00EE5F08">
      <w:pPr>
        <w:pStyle w:val="Prrafodelista"/>
        <w:spacing w:before="100" w:beforeAutospacing="1" w:after="100" w:afterAutospacing="1" w:line="360" w:lineRule="auto"/>
        <w:jc w:val="both"/>
        <w:rPr>
          <w:rFonts w:ascii="Arial Narrow" w:hAnsi="Arial Narrow" w:cs="Arial"/>
          <w:sz w:val="24"/>
          <w:szCs w:val="24"/>
        </w:rPr>
      </w:pPr>
    </w:p>
    <w:p w:rsidR="00AF69FA" w:rsidRPr="00CD728B" w:rsidRDefault="00AF69FA" w:rsidP="002E7D47">
      <w:pPr>
        <w:pStyle w:val="Ttulo3"/>
        <w:numPr>
          <w:ilvl w:val="2"/>
          <w:numId w:val="18"/>
        </w:numPr>
        <w:contextualSpacing/>
        <w:jc w:val="both"/>
        <w:rPr>
          <w:rFonts w:ascii="Arial Narrow" w:hAnsi="Arial Narrow"/>
          <w:b/>
          <w:color w:val="auto"/>
        </w:rPr>
      </w:pPr>
      <w:bookmarkStart w:id="32" w:name="_Toc14293733"/>
      <w:r w:rsidRPr="00CD728B">
        <w:rPr>
          <w:rFonts w:ascii="Arial Narrow" w:hAnsi="Arial Narrow"/>
          <w:b/>
          <w:color w:val="auto"/>
        </w:rPr>
        <w:lastRenderedPageBreak/>
        <w:t xml:space="preserve">Análisis del </w:t>
      </w:r>
      <w:r w:rsidR="009D7771">
        <w:rPr>
          <w:rFonts w:ascii="Arial Narrow" w:hAnsi="Arial Narrow"/>
          <w:b/>
          <w:color w:val="auto"/>
        </w:rPr>
        <w:t>Artículo</w:t>
      </w:r>
      <w:r w:rsidRPr="00CD728B">
        <w:rPr>
          <w:rFonts w:ascii="Arial Narrow" w:hAnsi="Arial Narrow"/>
          <w:b/>
          <w:color w:val="auto"/>
        </w:rPr>
        <w:t xml:space="preserve"> 136</w:t>
      </w:r>
      <w:bookmarkEnd w:id="32"/>
    </w:p>
    <w:p w:rsidR="00AF69FA" w:rsidRPr="00CD728B" w:rsidRDefault="00AF69FA" w:rsidP="002E7D47">
      <w:pPr>
        <w:spacing w:before="100" w:beforeAutospacing="1" w:after="100" w:afterAutospacing="1" w:line="360" w:lineRule="auto"/>
        <w:contextualSpacing/>
        <w:jc w:val="both"/>
        <w:rPr>
          <w:rFonts w:ascii="Arial Narrow" w:hAnsi="Arial Narrow" w:cs="Arial"/>
          <w:b/>
          <w:bCs/>
          <w:sz w:val="24"/>
          <w:szCs w:val="24"/>
        </w:rPr>
      </w:pPr>
      <w:r w:rsidRPr="00CD728B">
        <w:rPr>
          <w:rFonts w:ascii="Arial Narrow" w:hAnsi="Arial Narrow"/>
          <w:noProof/>
          <w:sz w:val="24"/>
          <w:szCs w:val="24"/>
          <w:lang w:val="es-MX" w:eastAsia="es-MX"/>
        </w:rPr>
        <w:drawing>
          <wp:inline distT="0" distB="0" distL="0" distR="0" wp14:anchorId="346F8714" wp14:editId="359DEC6C">
            <wp:extent cx="5586413" cy="3319462"/>
            <wp:effectExtent l="0" t="0" r="14605" b="14605"/>
            <wp:docPr id="7" name="Gráfico 7">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069734F-3D83-4B8F-BF8E-89DE9CB520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E5F08" w:rsidRPr="00CD728B" w:rsidRDefault="00EE5F08" w:rsidP="002E7D47">
      <w:pPr>
        <w:spacing w:before="100" w:beforeAutospacing="1" w:after="100" w:afterAutospacing="1" w:line="360" w:lineRule="auto"/>
        <w:contextualSpacing/>
        <w:jc w:val="both"/>
        <w:rPr>
          <w:rFonts w:ascii="Arial Narrow" w:hAnsi="Arial Narrow" w:cs="Arial"/>
          <w:sz w:val="24"/>
          <w:szCs w:val="24"/>
        </w:rPr>
      </w:pPr>
    </w:p>
    <w:p w:rsidR="00AF69FA" w:rsidRPr="00CD728B" w:rsidRDefault="00AF69FA" w:rsidP="002E7D47">
      <w:pPr>
        <w:spacing w:before="100" w:beforeAutospacing="1" w:after="100" w:afterAutospacing="1" w:line="360" w:lineRule="auto"/>
        <w:contextualSpacing/>
        <w:jc w:val="both"/>
        <w:rPr>
          <w:rFonts w:ascii="Arial Narrow" w:hAnsi="Arial Narrow" w:cs="Arial"/>
          <w:bCs/>
          <w:sz w:val="24"/>
          <w:szCs w:val="24"/>
        </w:rPr>
      </w:pPr>
      <w:r w:rsidRPr="00CD728B">
        <w:rPr>
          <w:rFonts w:ascii="Arial Narrow" w:hAnsi="Arial Narrow" w:cs="Arial"/>
          <w:sz w:val="24"/>
          <w:szCs w:val="24"/>
        </w:rPr>
        <w:t xml:space="preserve">Los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obtuvieron un ICP de 64.21%; por lo que se encuentra dentro del área de cumplimiento parcial.</w:t>
      </w:r>
      <w:r w:rsidRPr="00CD728B">
        <w:rPr>
          <w:rFonts w:ascii="Arial Narrow" w:hAnsi="Arial Narrow" w:cs="Arial"/>
          <w:bCs/>
          <w:sz w:val="24"/>
          <w:szCs w:val="24"/>
        </w:rPr>
        <w:t xml:space="preserve"> Este </w:t>
      </w:r>
      <w:r w:rsidR="009D7771">
        <w:rPr>
          <w:rFonts w:ascii="Arial Narrow" w:hAnsi="Arial Narrow" w:cs="Arial"/>
          <w:bCs/>
          <w:sz w:val="24"/>
          <w:szCs w:val="24"/>
        </w:rPr>
        <w:t>Artículo</w:t>
      </w:r>
      <w:r w:rsidRPr="00CD728B">
        <w:rPr>
          <w:rFonts w:ascii="Arial Narrow" w:hAnsi="Arial Narrow" w:cs="Arial"/>
          <w:bCs/>
          <w:sz w:val="24"/>
          <w:szCs w:val="24"/>
        </w:rPr>
        <w:t xml:space="preserve"> señala la obligación de publicar los contratos de mandato y otros actos jurídicos mediante los cuales se otorgue representación jurídica. Los </w:t>
      </w:r>
      <w:r w:rsidR="003C3757" w:rsidRPr="00CD728B">
        <w:rPr>
          <w:rFonts w:ascii="Arial Narrow" w:hAnsi="Arial Narrow" w:cs="Arial"/>
          <w:bCs/>
          <w:sz w:val="24"/>
          <w:szCs w:val="24"/>
        </w:rPr>
        <w:t>Sujetos Obligados</w:t>
      </w:r>
      <w:r w:rsidRPr="00CD728B">
        <w:rPr>
          <w:rFonts w:ascii="Arial Narrow" w:hAnsi="Arial Narrow" w:cs="Arial"/>
          <w:bCs/>
          <w:sz w:val="24"/>
          <w:szCs w:val="24"/>
        </w:rPr>
        <w:t xml:space="preserve"> deberán mantener</w:t>
      </w:r>
      <w:r w:rsidR="00BC3D51" w:rsidRPr="00CD728B">
        <w:rPr>
          <w:rFonts w:ascii="Arial Narrow" w:hAnsi="Arial Narrow" w:cs="Arial"/>
          <w:bCs/>
          <w:sz w:val="24"/>
          <w:szCs w:val="24"/>
        </w:rPr>
        <w:t>la</w:t>
      </w:r>
      <w:r w:rsidRPr="00CD728B">
        <w:rPr>
          <w:rFonts w:ascii="Arial Narrow" w:hAnsi="Arial Narrow" w:cs="Arial"/>
          <w:bCs/>
          <w:sz w:val="24"/>
          <w:szCs w:val="24"/>
        </w:rPr>
        <w:t xml:space="preserve"> actualizada, de forma impresa para su consulta directa y en sus respectivos sitios de internet.</w:t>
      </w:r>
    </w:p>
    <w:p w:rsidR="00EE5F08" w:rsidRPr="00CD728B" w:rsidRDefault="00EE5F08" w:rsidP="002E7D47">
      <w:pPr>
        <w:spacing w:before="100" w:beforeAutospacing="1" w:after="100" w:afterAutospacing="1" w:line="360" w:lineRule="auto"/>
        <w:contextualSpacing/>
        <w:jc w:val="both"/>
        <w:rPr>
          <w:rFonts w:ascii="Arial Narrow" w:hAnsi="Arial Narrow" w:cs="Arial"/>
          <w:bCs/>
          <w:sz w:val="24"/>
          <w:szCs w:val="24"/>
        </w:rPr>
      </w:pPr>
    </w:p>
    <w:p w:rsidR="00AF69FA" w:rsidRPr="00CD728B" w:rsidRDefault="00AF69FA" w:rsidP="002E7D47">
      <w:pPr>
        <w:spacing w:before="100" w:beforeAutospacing="1" w:after="100" w:afterAutospacing="1" w:line="360" w:lineRule="auto"/>
        <w:contextualSpacing/>
        <w:jc w:val="both"/>
        <w:rPr>
          <w:rFonts w:ascii="Arial Narrow" w:hAnsi="Arial Narrow" w:cs="Arial"/>
          <w:bCs/>
          <w:sz w:val="24"/>
          <w:szCs w:val="24"/>
        </w:rPr>
      </w:pPr>
      <w:r w:rsidRPr="00CD728B">
        <w:rPr>
          <w:rFonts w:ascii="Arial Narrow" w:hAnsi="Arial Narrow" w:cs="Arial"/>
          <w:bCs/>
          <w:sz w:val="24"/>
          <w:szCs w:val="24"/>
        </w:rPr>
        <w:t xml:space="preserve">El área de oportunidad respecto de este </w:t>
      </w:r>
      <w:r w:rsidR="009D7771">
        <w:rPr>
          <w:rFonts w:ascii="Arial Narrow" w:hAnsi="Arial Narrow" w:cs="Arial"/>
          <w:bCs/>
          <w:sz w:val="24"/>
          <w:szCs w:val="24"/>
        </w:rPr>
        <w:t>Artículo</w:t>
      </w:r>
      <w:r w:rsidRPr="00CD728B">
        <w:rPr>
          <w:rFonts w:ascii="Arial Narrow" w:hAnsi="Arial Narrow" w:cs="Arial"/>
          <w:bCs/>
          <w:sz w:val="24"/>
          <w:szCs w:val="24"/>
        </w:rPr>
        <w:t xml:space="preserve"> consiste en que los </w:t>
      </w:r>
      <w:r w:rsidR="003C3757" w:rsidRPr="00CD728B">
        <w:rPr>
          <w:rFonts w:ascii="Arial Narrow" w:hAnsi="Arial Narrow" w:cs="Arial"/>
          <w:bCs/>
          <w:sz w:val="24"/>
          <w:szCs w:val="24"/>
        </w:rPr>
        <w:t>Sujetos Obligados</w:t>
      </w:r>
      <w:r w:rsidRPr="00CD728B">
        <w:rPr>
          <w:rFonts w:ascii="Arial Narrow" w:hAnsi="Arial Narrow" w:cs="Arial"/>
          <w:bCs/>
          <w:sz w:val="24"/>
          <w:szCs w:val="24"/>
        </w:rPr>
        <w:t xml:space="preserve"> actualicen la información vigente conforme lo establece la normatividad correspondiente.</w:t>
      </w:r>
    </w:p>
    <w:p w:rsidR="00AF69FA" w:rsidRPr="00CD728B" w:rsidRDefault="00AF69FA" w:rsidP="002E7D47">
      <w:pPr>
        <w:pStyle w:val="Ttulo3"/>
        <w:numPr>
          <w:ilvl w:val="2"/>
          <w:numId w:val="18"/>
        </w:numPr>
        <w:contextualSpacing/>
        <w:jc w:val="both"/>
        <w:rPr>
          <w:rFonts w:ascii="Arial Narrow" w:hAnsi="Arial Narrow"/>
          <w:b/>
          <w:color w:val="auto"/>
        </w:rPr>
      </w:pPr>
      <w:bookmarkStart w:id="33" w:name="_Toc14293734"/>
      <w:r w:rsidRPr="00CD728B">
        <w:rPr>
          <w:rFonts w:ascii="Arial Narrow" w:hAnsi="Arial Narrow"/>
          <w:b/>
          <w:color w:val="auto"/>
        </w:rPr>
        <w:lastRenderedPageBreak/>
        <w:t xml:space="preserve">Análisis del </w:t>
      </w:r>
      <w:r w:rsidR="009D7771">
        <w:rPr>
          <w:rFonts w:ascii="Arial Narrow" w:hAnsi="Arial Narrow"/>
          <w:b/>
          <w:color w:val="auto"/>
        </w:rPr>
        <w:t>Artículo</w:t>
      </w:r>
      <w:r w:rsidRPr="00CD728B">
        <w:rPr>
          <w:rFonts w:ascii="Arial Narrow" w:hAnsi="Arial Narrow"/>
          <w:b/>
          <w:color w:val="auto"/>
        </w:rPr>
        <w:t xml:space="preserve"> 143</w:t>
      </w:r>
      <w:bookmarkEnd w:id="33"/>
    </w:p>
    <w:p w:rsidR="00AF69FA" w:rsidRPr="00CD728B" w:rsidRDefault="00AF69FA" w:rsidP="002E7D47">
      <w:pPr>
        <w:spacing w:before="100" w:beforeAutospacing="1" w:after="100" w:afterAutospacing="1" w:line="360" w:lineRule="auto"/>
        <w:contextualSpacing/>
        <w:jc w:val="both"/>
        <w:rPr>
          <w:rFonts w:ascii="Arial Narrow" w:hAnsi="Arial Narrow" w:cs="Arial"/>
          <w:b/>
          <w:bCs/>
          <w:sz w:val="24"/>
          <w:szCs w:val="24"/>
        </w:rPr>
      </w:pPr>
      <w:r w:rsidRPr="00CD728B">
        <w:rPr>
          <w:rFonts w:ascii="Arial Narrow" w:hAnsi="Arial Narrow"/>
          <w:noProof/>
          <w:sz w:val="24"/>
          <w:szCs w:val="24"/>
          <w:lang w:val="es-MX" w:eastAsia="es-MX"/>
        </w:rPr>
        <w:drawing>
          <wp:inline distT="0" distB="0" distL="0" distR="0" wp14:anchorId="0683C321" wp14:editId="07E17EF1">
            <wp:extent cx="5586095" cy="3381375"/>
            <wp:effectExtent l="0" t="0" r="14605" b="9525"/>
            <wp:docPr id="17" name="Gráfico 17">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3B7F53D-9D4C-4E27-96A1-3880209033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D1123D" w:rsidRPr="00CD728B" w:rsidRDefault="00D1123D" w:rsidP="002E7D47">
      <w:pPr>
        <w:spacing w:before="100" w:beforeAutospacing="1" w:after="100" w:afterAutospacing="1" w:line="360" w:lineRule="auto"/>
        <w:contextualSpacing/>
        <w:jc w:val="both"/>
        <w:rPr>
          <w:rFonts w:ascii="Arial Narrow" w:hAnsi="Arial Narrow" w:cs="Arial"/>
          <w:sz w:val="24"/>
          <w:szCs w:val="24"/>
        </w:rPr>
      </w:pPr>
    </w:p>
    <w:p w:rsidR="00AF69FA" w:rsidRPr="00CD728B" w:rsidRDefault="00AF69FA"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 xml:space="preserve">Los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alcanzaron un ICP de 73.71%; por lo que se encuentra dentro del área de cumplimiento parcial. En atención a lo anterior, el área de oportunidad consiste en actualizar la información conforme indica la normatividad vigente.</w:t>
      </w:r>
    </w:p>
    <w:p w:rsidR="00AF69FA" w:rsidRPr="00CD728B" w:rsidRDefault="00AF69FA" w:rsidP="002E7D47">
      <w:pPr>
        <w:pStyle w:val="Ttulo3"/>
        <w:numPr>
          <w:ilvl w:val="2"/>
          <w:numId w:val="18"/>
        </w:numPr>
        <w:contextualSpacing/>
        <w:jc w:val="both"/>
        <w:rPr>
          <w:rFonts w:ascii="Arial Narrow" w:hAnsi="Arial Narrow"/>
          <w:b/>
          <w:color w:val="auto"/>
        </w:rPr>
      </w:pPr>
      <w:bookmarkStart w:id="34" w:name="_Toc14293735"/>
      <w:r w:rsidRPr="00CD728B">
        <w:rPr>
          <w:rFonts w:ascii="Arial Narrow" w:hAnsi="Arial Narrow"/>
          <w:b/>
          <w:color w:val="auto"/>
        </w:rPr>
        <w:lastRenderedPageBreak/>
        <w:t xml:space="preserve">Análisis del </w:t>
      </w:r>
      <w:r w:rsidR="009D7771">
        <w:rPr>
          <w:rFonts w:ascii="Arial Narrow" w:hAnsi="Arial Narrow"/>
          <w:b/>
          <w:color w:val="auto"/>
        </w:rPr>
        <w:t>Artículo</w:t>
      </w:r>
      <w:r w:rsidRPr="00CD728B">
        <w:rPr>
          <w:rFonts w:ascii="Arial Narrow" w:hAnsi="Arial Narrow"/>
          <w:b/>
          <w:color w:val="auto"/>
        </w:rPr>
        <w:t xml:space="preserve"> 145</w:t>
      </w:r>
      <w:bookmarkEnd w:id="34"/>
    </w:p>
    <w:p w:rsidR="00AF69FA" w:rsidRPr="00CD728B" w:rsidRDefault="00AF69FA" w:rsidP="002E7D47">
      <w:pPr>
        <w:spacing w:before="100" w:beforeAutospacing="1" w:after="100" w:afterAutospacing="1" w:line="360" w:lineRule="auto"/>
        <w:contextualSpacing/>
        <w:jc w:val="both"/>
        <w:rPr>
          <w:rFonts w:ascii="Arial Narrow" w:hAnsi="Arial Narrow" w:cs="Arial"/>
          <w:b/>
          <w:bCs/>
          <w:sz w:val="24"/>
          <w:szCs w:val="24"/>
        </w:rPr>
      </w:pPr>
      <w:r w:rsidRPr="00CD728B">
        <w:rPr>
          <w:rFonts w:ascii="Arial Narrow" w:hAnsi="Arial Narrow"/>
          <w:noProof/>
          <w:sz w:val="24"/>
          <w:szCs w:val="24"/>
          <w:lang w:val="es-MX" w:eastAsia="es-MX"/>
        </w:rPr>
        <w:drawing>
          <wp:inline distT="0" distB="0" distL="0" distR="0" wp14:anchorId="70CF8EA2" wp14:editId="659FC7B3">
            <wp:extent cx="5472113" cy="3348037"/>
            <wp:effectExtent l="0" t="0" r="14605" b="5080"/>
            <wp:docPr id="20" name="Gráfico 20">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0AA2E13-2DAC-432A-87D0-AA0D7DAACB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D1123D" w:rsidRPr="00CD728B" w:rsidRDefault="00D1123D" w:rsidP="002E7D47">
      <w:pPr>
        <w:spacing w:before="100" w:beforeAutospacing="1" w:after="100" w:afterAutospacing="1" w:line="360" w:lineRule="auto"/>
        <w:contextualSpacing/>
        <w:jc w:val="both"/>
        <w:rPr>
          <w:rFonts w:ascii="Arial Narrow" w:hAnsi="Arial Narrow" w:cs="Arial"/>
          <w:sz w:val="24"/>
          <w:szCs w:val="24"/>
        </w:rPr>
      </w:pPr>
    </w:p>
    <w:p w:rsidR="00AF69FA" w:rsidRPr="00CD728B" w:rsidRDefault="00AF69FA"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 xml:space="preserve">Este </w:t>
      </w:r>
      <w:r w:rsidR="009D7771">
        <w:rPr>
          <w:rFonts w:ascii="Arial Narrow" w:hAnsi="Arial Narrow" w:cs="Arial"/>
          <w:sz w:val="24"/>
          <w:szCs w:val="24"/>
        </w:rPr>
        <w:t>Artículo</w:t>
      </w:r>
      <w:r w:rsidRPr="00CD728B">
        <w:rPr>
          <w:rFonts w:ascii="Arial Narrow" w:hAnsi="Arial Narrow" w:cs="Arial"/>
          <w:sz w:val="24"/>
          <w:szCs w:val="24"/>
        </w:rPr>
        <w:t xml:space="preserve"> obtuvo ICP de 89.84%; lo anterior en atención a que 11</w:t>
      </w:r>
      <w:r w:rsidRPr="00CD728B">
        <w:rPr>
          <w:rStyle w:val="Refdenotaalpie"/>
          <w:rFonts w:ascii="Arial Narrow" w:hAnsi="Arial Narrow" w:cs="Arial"/>
          <w:sz w:val="24"/>
          <w:szCs w:val="24"/>
        </w:rPr>
        <w:footnoteReference w:id="38"/>
      </w:r>
      <w:r w:rsidRPr="00CD728B">
        <w:rPr>
          <w:rFonts w:ascii="Arial Narrow" w:hAnsi="Arial Narrow" w:cs="Arial"/>
          <w:sz w:val="24"/>
          <w:szCs w:val="24"/>
        </w:rPr>
        <w:t xml:space="preserve">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cumplieron cabalmente con una señalización fácilmente identificable y accesible que permite a la ciudadanía ingresar al sitio de transparencia; dos</w:t>
      </w:r>
      <w:r w:rsidRPr="00CD728B">
        <w:rPr>
          <w:rStyle w:val="Refdenotaalpie"/>
          <w:rFonts w:ascii="Arial Narrow" w:hAnsi="Arial Narrow" w:cs="Arial"/>
          <w:sz w:val="24"/>
          <w:szCs w:val="24"/>
        </w:rPr>
        <w:footnoteReference w:id="39"/>
      </w:r>
      <w:r w:rsidRPr="00CD728B">
        <w:rPr>
          <w:rFonts w:ascii="Arial Narrow" w:hAnsi="Arial Narrow" w:cs="Arial"/>
          <w:sz w:val="24"/>
          <w:szCs w:val="24"/>
        </w:rPr>
        <w:t xml:space="preserve"> cumplieron parcialmente; sin embargo, tres</w:t>
      </w:r>
      <w:r w:rsidRPr="00CD728B">
        <w:rPr>
          <w:rStyle w:val="Refdenotaalpie"/>
          <w:rFonts w:ascii="Arial Narrow" w:hAnsi="Arial Narrow" w:cs="Arial"/>
          <w:sz w:val="24"/>
          <w:szCs w:val="24"/>
        </w:rPr>
        <w:footnoteReference w:id="40"/>
      </w:r>
      <w:r w:rsidRPr="00CD728B">
        <w:rPr>
          <w:rFonts w:ascii="Arial Narrow" w:hAnsi="Arial Narrow" w:cs="Arial"/>
          <w:sz w:val="24"/>
          <w:szCs w:val="24"/>
        </w:rPr>
        <w:t xml:space="preserve"> no cuentan con el rubro de transparencia dentro de sus portales de internet, por lo que estos deberán crear el acceso mencionado.</w:t>
      </w:r>
    </w:p>
    <w:p w:rsidR="00AF69FA" w:rsidRPr="00CD728B" w:rsidRDefault="00AF69FA" w:rsidP="002E7D47">
      <w:pPr>
        <w:pStyle w:val="Ttulo3"/>
        <w:numPr>
          <w:ilvl w:val="2"/>
          <w:numId w:val="18"/>
        </w:numPr>
        <w:contextualSpacing/>
        <w:jc w:val="both"/>
        <w:rPr>
          <w:rFonts w:ascii="Arial Narrow" w:hAnsi="Arial Narrow"/>
          <w:b/>
          <w:color w:val="auto"/>
        </w:rPr>
      </w:pPr>
      <w:bookmarkStart w:id="35" w:name="_Toc14293736"/>
      <w:r w:rsidRPr="00CD728B">
        <w:rPr>
          <w:rFonts w:ascii="Arial Narrow" w:hAnsi="Arial Narrow"/>
          <w:b/>
          <w:color w:val="auto"/>
        </w:rPr>
        <w:lastRenderedPageBreak/>
        <w:t xml:space="preserve">Análisis del </w:t>
      </w:r>
      <w:r w:rsidR="009D7771">
        <w:rPr>
          <w:rFonts w:ascii="Arial Narrow" w:hAnsi="Arial Narrow"/>
          <w:b/>
          <w:color w:val="auto"/>
        </w:rPr>
        <w:t>Artículo</w:t>
      </w:r>
      <w:r w:rsidRPr="00CD728B">
        <w:rPr>
          <w:rFonts w:ascii="Arial Narrow" w:hAnsi="Arial Narrow"/>
          <w:b/>
          <w:color w:val="auto"/>
        </w:rPr>
        <w:t xml:space="preserve"> 146</w:t>
      </w:r>
      <w:bookmarkEnd w:id="35"/>
    </w:p>
    <w:p w:rsidR="00AF69FA" w:rsidRPr="00CD728B" w:rsidRDefault="00AF69FA" w:rsidP="002E7D47">
      <w:pPr>
        <w:spacing w:before="100" w:beforeAutospacing="1" w:after="100" w:afterAutospacing="1" w:line="360" w:lineRule="auto"/>
        <w:contextualSpacing/>
        <w:jc w:val="both"/>
        <w:rPr>
          <w:rFonts w:ascii="Arial Narrow" w:hAnsi="Arial Narrow" w:cs="Arial"/>
          <w:b/>
          <w:bCs/>
          <w:sz w:val="24"/>
          <w:szCs w:val="24"/>
        </w:rPr>
      </w:pPr>
      <w:r w:rsidRPr="00CD728B">
        <w:rPr>
          <w:rFonts w:ascii="Arial Narrow" w:hAnsi="Arial Narrow"/>
          <w:noProof/>
          <w:sz w:val="24"/>
          <w:szCs w:val="24"/>
          <w:lang w:val="es-MX" w:eastAsia="es-MX"/>
        </w:rPr>
        <w:drawing>
          <wp:inline distT="0" distB="0" distL="0" distR="0" wp14:anchorId="3DBCF8C4" wp14:editId="15A04FC5">
            <wp:extent cx="5486400" cy="3381375"/>
            <wp:effectExtent l="0" t="0" r="0" b="9525"/>
            <wp:docPr id="21" name="Gráfico 21">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8E5D6D0-D868-4B57-9A46-BA84A0736B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1123D" w:rsidRPr="00CD728B" w:rsidRDefault="00D1123D" w:rsidP="002E7D47">
      <w:pPr>
        <w:spacing w:before="100" w:beforeAutospacing="1" w:after="100" w:afterAutospacing="1" w:line="360" w:lineRule="auto"/>
        <w:contextualSpacing/>
        <w:jc w:val="both"/>
        <w:rPr>
          <w:rFonts w:ascii="Arial Narrow" w:hAnsi="Arial Narrow" w:cs="Arial"/>
          <w:sz w:val="24"/>
          <w:szCs w:val="24"/>
        </w:rPr>
      </w:pPr>
    </w:p>
    <w:p w:rsidR="00AF69FA" w:rsidRPr="00CD728B" w:rsidRDefault="00AF69FA"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En este ámbito de gobierno obtuvieron un ICP de 44.38%; debido a que tres</w:t>
      </w:r>
      <w:r w:rsidRPr="00CD728B">
        <w:rPr>
          <w:rStyle w:val="Refdenotaalpie"/>
          <w:rFonts w:ascii="Arial Narrow" w:hAnsi="Arial Narrow" w:cs="Arial"/>
          <w:sz w:val="24"/>
          <w:szCs w:val="24"/>
        </w:rPr>
        <w:footnoteReference w:id="41"/>
      </w:r>
      <w:r w:rsidRPr="00CD728B">
        <w:rPr>
          <w:rFonts w:ascii="Arial Narrow" w:hAnsi="Arial Narrow" w:cs="Arial"/>
          <w:sz w:val="24"/>
          <w:szCs w:val="24"/>
        </w:rPr>
        <w:t xml:space="preserve">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cumplieron totalmente con lo establecido en el </w:t>
      </w:r>
      <w:r w:rsidR="009D7771">
        <w:rPr>
          <w:rFonts w:ascii="Arial Narrow" w:hAnsi="Arial Narrow" w:cs="Arial"/>
          <w:sz w:val="24"/>
          <w:szCs w:val="24"/>
        </w:rPr>
        <w:t>Artículo</w:t>
      </w:r>
      <w:r w:rsidRPr="00CD728B">
        <w:rPr>
          <w:rFonts w:ascii="Arial Narrow" w:hAnsi="Arial Narrow" w:cs="Arial"/>
          <w:sz w:val="24"/>
          <w:szCs w:val="24"/>
        </w:rPr>
        <w:t>, ocho</w:t>
      </w:r>
      <w:r w:rsidRPr="00CD728B">
        <w:rPr>
          <w:rStyle w:val="Refdenotaalpie"/>
          <w:rFonts w:ascii="Arial Narrow" w:hAnsi="Arial Narrow" w:cs="Arial"/>
          <w:sz w:val="24"/>
          <w:szCs w:val="24"/>
        </w:rPr>
        <w:footnoteReference w:id="42"/>
      </w:r>
      <w:r w:rsidRPr="00CD728B">
        <w:rPr>
          <w:rFonts w:ascii="Arial Narrow" w:hAnsi="Arial Narrow" w:cs="Arial"/>
          <w:sz w:val="24"/>
          <w:szCs w:val="24"/>
        </w:rPr>
        <w:t xml:space="preserve"> tuvieron un incumplimiento parcial y cinco</w:t>
      </w:r>
      <w:r w:rsidRPr="00CD728B">
        <w:rPr>
          <w:rStyle w:val="Refdenotaalpie"/>
          <w:rFonts w:ascii="Arial Narrow" w:hAnsi="Arial Narrow" w:cs="Arial"/>
          <w:sz w:val="24"/>
          <w:szCs w:val="24"/>
        </w:rPr>
        <w:footnoteReference w:id="43"/>
      </w:r>
      <w:r w:rsidRPr="00CD728B">
        <w:rPr>
          <w:rFonts w:ascii="Arial Narrow" w:hAnsi="Arial Narrow" w:cs="Arial"/>
          <w:sz w:val="24"/>
          <w:szCs w:val="24"/>
        </w:rPr>
        <w:t xml:space="preserve"> un incumplimiento total. Al respecto, el área de oportunidad consiste en que los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publiquen sus calendarios de actualización de obligaciones de transparencia y tengan </w:t>
      </w:r>
      <w:r w:rsidRPr="00CD728B">
        <w:rPr>
          <w:rFonts w:ascii="Arial Narrow" w:hAnsi="Arial Narrow" w:cs="Arial"/>
          <w:sz w:val="24"/>
          <w:szCs w:val="24"/>
        </w:rPr>
        <w:lastRenderedPageBreak/>
        <w:t xml:space="preserve">precaución respecto de las fechas que señalan, puesto que no atienden a lo establecido en la ley de transparencia, ni en la tabla de conservación de los lineamientos y metodología de Evaluación. </w:t>
      </w:r>
    </w:p>
    <w:p w:rsidR="00AF69FA" w:rsidRPr="00CD728B" w:rsidRDefault="00AF69FA" w:rsidP="002E7D47">
      <w:pPr>
        <w:pStyle w:val="Ttulo3"/>
        <w:numPr>
          <w:ilvl w:val="2"/>
          <w:numId w:val="18"/>
        </w:numPr>
        <w:contextualSpacing/>
        <w:jc w:val="both"/>
        <w:rPr>
          <w:rFonts w:ascii="Arial Narrow" w:hAnsi="Arial Narrow"/>
          <w:b/>
          <w:color w:val="auto"/>
        </w:rPr>
      </w:pPr>
      <w:bookmarkStart w:id="36" w:name="_Toc14293737"/>
      <w:r w:rsidRPr="00CD728B">
        <w:rPr>
          <w:rFonts w:ascii="Arial Narrow" w:hAnsi="Arial Narrow"/>
          <w:b/>
          <w:color w:val="auto"/>
        </w:rPr>
        <w:t xml:space="preserve">Análisis del </w:t>
      </w:r>
      <w:r w:rsidR="009D7771">
        <w:rPr>
          <w:rFonts w:ascii="Arial Narrow" w:hAnsi="Arial Narrow"/>
          <w:b/>
          <w:color w:val="auto"/>
        </w:rPr>
        <w:t>Artículo</w:t>
      </w:r>
      <w:r w:rsidRPr="00CD728B">
        <w:rPr>
          <w:rFonts w:ascii="Arial Narrow" w:hAnsi="Arial Narrow"/>
          <w:b/>
          <w:color w:val="auto"/>
        </w:rPr>
        <w:t xml:space="preserve"> 147</w:t>
      </w:r>
      <w:bookmarkEnd w:id="36"/>
      <w:r w:rsidRPr="00CD728B">
        <w:rPr>
          <w:rFonts w:ascii="Arial Narrow" w:hAnsi="Arial Narrow"/>
          <w:b/>
          <w:color w:val="auto"/>
        </w:rPr>
        <w:t xml:space="preserve"> </w:t>
      </w:r>
    </w:p>
    <w:p w:rsidR="00AF69FA" w:rsidRPr="00CD728B" w:rsidRDefault="00AF69FA"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noProof/>
          <w:sz w:val="24"/>
          <w:szCs w:val="24"/>
          <w:lang w:val="es-MX" w:eastAsia="es-MX"/>
        </w:rPr>
        <w:drawing>
          <wp:inline distT="0" distB="0" distL="0" distR="0" wp14:anchorId="422106DE" wp14:editId="0811455F">
            <wp:extent cx="5612130" cy="3274695"/>
            <wp:effectExtent l="0" t="0" r="7620" b="1905"/>
            <wp:docPr id="22" name="Gráfico 22">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FA4E2F5-5C5B-46C6-AF97-4C26C6576B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1123D" w:rsidRPr="00CD728B" w:rsidRDefault="00D1123D" w:rsidP="002E7D47">
      <w:pPr>
        <w:spacing w:before="100" w:beforeAutospacing="1" w:after="100" w:afterAutospacing="1" w:line="360" w:lineRule="auto"/>
        <w:contextualSpacing/>
        <w:jc w:val="both"/>
        <w:rPr>
          <w:rFonts w:ascii="Arial Narrow" w:hAnsi="Arial Narrow" w:cs="Arial"/>
          <w:sz w:val="24"/>
          <w:szCs w:val="24"/>
        </w:rPr>
      </w:pPr>
    </w:p>
    <w:p w:rsidR="0054779C" w:rsidRPr="00CD728B" w:rsidRDefault="00AF69FA"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Por último, los fondos y fideicomisos obtuvieron un ICP de 75.63%; debido a que 11</w:t>
      </w:r>
      <w:r w:rsidRPr="00CD728B">
        <w:rPr>
          <w:rStyle w:val="Refdenotaalpie"/>
          <w:rFonts w:ascii="Arial Narrow" w:hAnsi="Arial Narrow" w:cs="Arial"/>
          <w:sz w:val="24"/>
          <w:szCs w:val="24"/>
        </w:rPr>
        <w:footnoteReference w:id="44"/>
      </w:r>
      <w:r w:rsidRPr="00CD728B">
        <w:rPr>
          <w:rFonts w:ascii="Arial Narrow" w:hAnsi="Arial Narrow" w:cs="Arial"/>
          <w:sz w:val="24"/>
          <w:szCs w:val="24"/>
        </w:rPr>
        <w:t xml:space="preserve">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tuvieron un cumplimiento total, tres</w:t>
      </w:r>
      <w:r w:rsidRPr="00CD728B">
        <w:rPr>
          <w:rStyle w:val="Refdenotaalpie"/>
          <w:rFonts w:ascii="Arial Narrow" w:hAnsi="Arial Narrow" w:cs="Arial"/>
          <w:sz w:val="24"/>
          <w:szCs w:val="24"/>
        </w:rPr>
        <w:footnoteReference w:id="45"/>
      </w:r>
      <w:r w:rsidRPr="00CD728B">
        <w:rPr>
          <w:rFonts w:ascii="Arial Narrow" w:hAnsi="Arial Narrow" w:cs="Arial"/>
          <w:sz w:val="24"/>
          <w:szCs w:val="24"/>
        </w:rPr>
        <w:t xml:space="preserve"> con un incumplimiento parcial y dos</w:t>
      </w:r>
      <w:r w:rsidRPr="00CD728B">
        <w:rPr>
          <w:rStyle w:val="Refdenotaalpie"/>
          <w:rFonts w:ascii="Arial Narrow" w:hAnsi="Arial Narrow" w:cs="Arial"/>
          <w:sz w:val="24"/>
          <w:szCs w:val="24"/>
        </w:rPr>
        <w:footnoteReference w:id="46"/>
      </w:r>
      <w:r w:rsidRPr="00CD728B">
        <w:rPr>
          <w:rFonts w:ascii="Arial Narrow" w:hAnsi="Arial Narrow" w:cs="Arial"/>
          <w:sz w:val="24"/>
          <w:szCs w:val="24"/>
        </w:rPr>
        <w:t xml:space="preserve"> un incumplimiento total. Las áreas de oportunidad de este </w:t>
      </w:r>
      <w:r w:rsidR="009D7771">
        <w:rPr>
          <w:rFonts w:ascii="Arial Narrow" w:hAnsi="Arial Narrow" w:cs="Arial"/>
          <w:sz w:val="24"/>
          <w:szCs w:val="24"/>
        </w:rPr>
        <w:t>Artículo</w:t>
      </w:r>
      <w:r w:rsidRPr="00CD728B">
        <w:rPr>
          <w:rFonts w:ascii="Arial Narrow" w:hAnsi="Arial Narrow" w:cs="Arial"/>
          <w:sz w:val="24"/>
          <w:szCs w:val="24"/>
        </w:rPr>
        <w:t xml:space="preserve"> consisten en que los sujetos deberán </w:t>
      </w:r>
      <w:r w:rsidRPr="00CD728B">
        <w:rPr>
          <w:rFonts w:ascii="Arial Narrow" w:hAnsi="Arial Narrow" w:cs="Arial"/>
          <w:sz w:val="24"/>
          <w:szCs w:val="24"/>
        </w:rPr>
        <w:lastRenderedPageBreak/>
        <w:t>de actualizar la información conforme indica la normatividad vigente y verificar el acceso correcto de los hipervín</w:t>
      </w:r>
      <w:r w:rsidR="0054779C" w:rsidRPr="00CD728B">
        <w:rPr>
          <w:rFonts w:ascii="Arial Narrow" w:hAnsi="Arial Narrow" w:cs="Arial"/>
          <w:sz w:val="24"/>
          <w:szCs w:val="24"/>
        </w:rPr>
        <w:t>culos.</w:t>
      </w:r>
    </w:p>
    <w:p w:rsidR="0054779C" w:rsidRPr="00CD728B" w:rsidRDefault="0054779C" w:rsidP="002E7D47">
      <w:pPr>
        <w:contextualSpacing/>
        <w:rPr>
          <w:rFonts w:ascii="Arial Narrow" w:hAnsi="Arial Narrow"/>
          <w:sz w:val="24"/>
          <w:szCs w:val="24"/>
        </w:rPr>
      </w:pPr>
      <w:r w:rsidRPr="00CD728B">
        <w:rPr>
          <w:rFonts w:ascii="Arial Narrow" w:hAnsi="Arial Narrow"/>
          <w:sz w:val="24"/>
          <w:szCs w:val="24"/>
        </w:rPr>
        <w:br w:type="page"/>
      </w:r>
    </w:p>
    <w:p w:rsidR="00940CBA" w:rsidRPr="00CD728B" w:rsidRDefault="00D2376D" w:rsidP="002E7D47">
      <w:pPr>
        <w:pStyle w:val="Ttulo2"/>
        <w:numPr>
          <w:ilvl w:val="1"/>
          <w:numId w:val="19"/>
        </w:numPr>
        <w:contextualSpacing/>
        <w:rPr>
          <w:rFonts w:ascii="Arial Narrow" w:hAnsi="Arial Narrow"/>
          <w:b/>
          <w:color w:val="auto"/>
          <w:sz w:val="24"/>
          <w:szCs w:val="24"/>
        </w:rPr>
      </w:pPr>
      <w:bookmarkStart w:id="37" w:name="_Toc14293738"/>
      <w:r w:rsidRPr="00CD728B">
        <w:rPr>
          <w:rFonts w:ascii="Arial Narrow" w:hAnsi="Arial Narrow"/>
          <w:b/>
          <w:color w:val="auto"/>
          <w:sz w:val="24"/>
          <w:szCs w:val="24"/>
        </w:rPr>
        <w:lastRenderedPageBreak/>
        <w:t>DEMARCACIONES POLÍTICAS DE LA CIUDAD DE MÉXICO</w:t>
      </w:r>
      <w:bookmarkEnd w:id="37"/>
    </w:p>
    <w:p w:rsidR="00940CBA" w:rsidRPr="00CD728B" w:rsidRDefault="00940CBA" w:rsidP="002E7D47">
      <w:pPr>
        <w:spacing w:before="100" w:beforeAutospacing="1" w:after="100" w:afterAutospacing="1" w:line="360" w:lineRule="auto"/>
        <w:contextualSpacing/>
        <w:jc w:val="both"/>
        <w:rPr>
          <w:rFonts w:ascii="Arial Narrow" w:hAnsi="Arial Narrow"/>
          <w:sz w:val="24"/>
          <w:szCs w:val="24"/>
        </w:rPr>
      </w:pPr>
      <w:r w:rsidRPr="00CD728B">
        <w:rPr>
          <w:rFonts w:ascii="Arial Narrow" w:hAnsi="Arial Narrow"/>
          <w:sz w:val="24"/>
          <w:szCs w:val="24"/>
        </w:rPr>
        <w:t xml:space="preserve">El ámbito del Poder Ejecutivo en lo que corresponde al orden de gobierno municipal, al 31 de diciembre de 2018 estaba conformado por 16 demarcaciones políticas, de conformidad con el </w:t>
      </w:r>
      <w:r w:rsidRPr="00CD728B">
        <w:rPr>
          <w:rFonts w:ascii="Arial Narrow" w:hAnsi="Arial Narrow" w:cs="Arial"/>
          <w:sz w:val="24"/>
          <w:szCs w:val="24"/>
        </w:rPr>
        <w:t xml:space="preserve">Padrón de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supeditados al cumplimiento de la Ley de Transparencia, Acceso a la Información Pública y Rendición de Cuentas de la Ciudad de México</w:t>
      </w:r>
      <w:r w:rsidRPr="00CD728B" w:rsidDel="005B5D1B">
        <w:rPr>
          <w:rFonts w:ascii="Arial Narrow" w:hAnsi="Arial Narrow" w:cs="Arial"/>
          <w:sz w:val="24"/>
          <w:szCs w:val="24"/>
        </w:rPr>
        <w:t xml:space="preserve"> </w:t>
      </w:r>
      <w:r w:rsidRPr="00CD728B">
        <w:rPr>
          <w:rFonts w:ascii="Arial Narrow" w:hAnsi="Arial Narrow" w:cs="Arial"/>
          <w:sz w:val="24"/>
          <w:szCs w:val="24"/>
        </w:rPr>
        <w:t xml:space="preserve">y de la Ley de Protección de Datos Personales en Posesión de los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de la Ciudad de México (Padrón)</w:t>
      </w:r>
      <w:r w:rsidR="00D2376D" w:rsidRPr="00CD728B">
        <w:rPr>
          <w:rFonts w:ascii="Arial Narrow" w:hAnsi="Arial Narrow"/>
          <w:sz w:val="24"/>
          <w:szCs w:val="24"/>
        </w:rPr>
        <w:t>.</w:t>
      </w:r>
    </w:p>
    <w:p w:rsidR="00D2376D" w:rsidRPr="00CD728B" w:rsidRDefault="00D2376D" w:rsidP="002E7D47">
      <w:pPr>
        <w:spacing w:before="100" w:beforeAutospacing="1" w:after="100" w:afterAutospacing="1" w:line="360" w:lineRule="auto"/>
        <w:contextualSpacing/>
        <w:jc w:val="both"/>
        <w:rPr>
          <w:rFonts w:ascii="Arial Narrow" w:hAnsi="Arial Narrow"/>
          <w:sz w:val="24"/>
          <w:szCs w:val="24"/>
        </w:rPr>
      </w:pPr>
    </w:p>
    <w:p w:rsidR="00940CBA" w:rsidRPr="00CD728B" w:rsidRDefault="00940CBA"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sz w:val="24"/>
          <w:szCs w:val="24"/>
        </w:rPr>
        <w:t xml:space="preserve">Los </w:t>
      </w:r>
      <w:r w:rsidR="003C3757" w:rsidRPr="00CD728B">
        <w:rPr>
          <w:rFonts w:ascii="Arial Narrow" w:hAnsi="Arial Narrow"/>
          <w:sz w:val="24"/>
          <w:szCs w:val="24"/>
        </w:rPr>
        <w:t>Sujetos Obligados</w:t>
      </w:r>
      <w:r w:rsidRPr="00CD728B">
        <w:rPr>
          <w:rFonts w:ascii="Arial Narrow" w:hAnsi="Arial Narrow"/>
          <w:sz w:val="24"/>
          <w:szCs w:val="24"/>
        </w:rPr>
        <w:t xml:space="preserve">, así como su </w:t>
      </w:r>
      <w:r w:rsidRPr="00CD728B">
        <w:rPr>
          <w:rFonts w:ascii="Arial Narrow" w:hAnsi="Arial Narrow" w:cs="Arial"/>
          <w:sz w:val="24"/>
          <w:szCs w:val="24"/>
        </w:rPr>
        <w:t>Índice de Cumplimiento de Obligaciones de Transparencia del Portal de Internet (</w:t>
      </w:r>
      <w:r w:rsidR="00623A69">
        <w:rPr>
          <w:rFonts w:ascii="Arial Narrow" w:hAnsi="Arial Narrow" w:cs="Arial"/>
          <w:sz w:val="24"/>
          <w:szCs w:val="24"/>
        </w:rPr>
        <w:t>ICOT-PT</w:t>
      </w:r>
      <w:r w:rsidRPr="00CD728B">
        <w:rPr>
          <w:rFonts w:ascii="Arial Narrow" w:hAnsi="Arial Narrow" w:cs="Arial"/>
          <w:sz w:val="24"/>
          <w:szCs w:val="24"/>
        </w:rPr>
        <w:t>), el de la Plataforma Nacional de Transparencia (ICOT-PNT)</w:t>
      </w:r>
      <w:r w:rsidRPr="00CD728B">
        <w:rPr>
          <w:rFonts w:ascii="Arial Narrow" w:hAnsi="Arial Narrow"/>
          <w:sz w:val="24"/>
          <w:szCs w:val="24"/>
        </w:rPr>
        <w:t xml:space="preserve"> y el </w:t>
      </w:r>
      <w:r w:rsidRPr="00CD728B">
        <w:rPr>
          <w:rFonts w:ascii="Arial Narrow" w:hAnsi="Arial Narrow" w:cs="Arial"/>
          <w:sz w:val="24"/>
          <w:szCs w:val="24"/>
        </w:rPr>
        <w:t xml:space="preserve">Índice General de Cumplimiento de Obligaciones de Transparencia (IGOT) se presentan en la siguiente tabla, ordenados de forma descendente, respecto del IGOT: </w:t>
      </w:r>
    </w:p>
    <w:p w:rsidR="00940CBA" w:rsidRPr="00CD728B" w:rsidRDefault="00940CBA" w:rsidP="002E7D47">
      <w:pPr>
        <w:spacing w:before="100" w:beforeAutospacing="1" w:after="100" w:afterAutospacing="1" w:line="360" w:lineRule="auto"/>
        <w:contextualSpacing/>
        <w:jc w:val="both"/>
        <w:rPr>
          <w:rFonts w:ascii="Arial Narrow" w:hAnsi="Arial Narrow" w:cs="Arial"/>
          <w:sz w:val="24"/>
          <w:szCs w:val="24"/>
        </w:rPr>
      </w:pPr>
    </w:p>
    <w:tbl>
      <w:tblPr>
        <w:tblW w:w="7351" w:type="dxa"/>
        <w:jc w:val="center"/>
        <w:tblCellMar>
          <w:left w:w="70" w:type="dxa"/>
          <w:right w:w="70" w:type="dxa"/>
        </w:tblCellMar>
        <w:tblLook w:val="04A0" w:firstRow="1" w:lastRow="0" w:firstColumn="1" w:lastColumn="0" w:noHBand="0" w:noVBand="1"/>
      </w:tblPr>
      <w:tblGrid>
        <w:gridCol w:w="3745"/>
        <w:gridCol w:w="1065"/>
        <w:gridCol w:w="1427"/>
        <w:gridCol w:w="1114"/>
      </w:tblGrid>
      <w:tr w:rsidR="001E0121" w:rsidRPr="00CD728B" w:rsidTr="006C722A">
        <w:trPr>
          <w:trHeight w:val="345"/>
          <w:tblHeader/>
          <w:jc w:val="center"/>
        </w:trPr>
        <w:tc>
          <w:tcPr>
            <w:tcW w:w="7351" w:type="dxa"/>
            <w:gridSpan w:val="4"/>
            <w:tcBorders>
              <w:top w:val="single" w:sz="8" w:space="0" w:color="auto"/>
              <w:left w:val="single" w:sz="8" w:space="0" w:color="auto"/>
              <w:bottom w:val="single" w:sz="8" w:space="0" w:color="auto"/>
              <w:right w:val="single" w:sz="8" w:space="0" w:color="000000"/>
            </w:tcBorders>
            <w:shd w:val="clear" w:color="000000" w:fill="33CCCC"/>
            <w:noWrap/>
            <w:vAlign w:val="center"/>
            <w:hideMark/>
          </w:tcPr>
          <w:p w:rsidR="00940CBA" w:rsidRPr="00CD728B" w:rsidRDefault="00940CBA" w:rsidP="002E7D47">
            <w:pPr>
              <w:spacing w:before="100" w:beforeAutospacing="1" w:after="100" w:afterAutospacing="1" w:line="360" w:lineRule="auto"/>
              <w:contextualSpacing/>
              <w:jc w:val="center"/>
              <w:rPr>
                <w:rFonts w:ascii="Arial Narrow" w:eastAsia="Times New Roman" w:hAnsi="Arial Narrow" w:cs="Arial"/>
                <w:b/>
                <w:bCs/>
                <w:sz w:val="24"/>
                <w:szCs w:val="24"/>
                <w:lang w:val="es-MX" w:eastAsia="es-MX"/>
              </w:rPr>
            </w:pPr>
            <w:r w:rsidRPr="00CD728B">
              <w:rPr>
                <w:rFonts w:ascii="Arial Narrow" w:eastAsia="Times New Roman" w:hAnsi="Arial Narrow" w:cs="Calibri"/>
                <w:b/>
                <w:bCs/>
                <w:sz w:val="24"/>
                <w:szCs w:val="24"/>
                <w:lang w:val="es-MX" w:eastAsia="es-ES_tradnl"/>
              </w:rPr>
              <w:t>Resultados de la Evaluación Vinculante 2019, respecto del ejercicio 2018</w:t>
            </w:r>
          </w:p>
        </w:tc>
      </w:tr>
      <w:tr w:rsidR="001E0121" w:rsidRPr="00CD728B" w:rsidTr="006C722A">
        <w:trPr>
          <w:trHeight w:val="345"/>
          <w:tblHeader/>
          <w:jc w:val="center"/>
        </w:trPr>
        <w:tc>
          <w:tcPr>
            <w:tcW w:w="3745" w:type="dxa"/>
            <w:tcBorders>
              <w:top w:val="nil"/>
              <w:left w:val="single" w:sz="8" w:space="0" w:color="auto"/>
              <w:bottom w:val="single" w:sz="8" w:space="0" w:color="auto"/>
              <w:right w:val="single" w:sz="8" w:space="0" w:color="auto"/>
            </w:tcBorders>
            <w:shd w:val="clear" w:color="000000" w:fill="33CCCC"/>
            <w:noWrap/>
            <w:vAlign w:val="center"/>
            <w:hideMark/>
          </w:tcPr>
          <w:p w:rsidR="00940CBA" w:rsidRPr="00CD728B" w:rsidRDefault="00940CBA" w:rsidP="002E7D47">
            <w:pPr>
              <w:spacing w:before="100" w:beforeAutospacing="1" w:after="100" w:afterAutospacing="1" w:line="360" w:lineRule="auto"/>
              <w:contextualSpacing/>
              <w:jc w:val="both"/>
              <w:rPr>
                <w:rFonts w:ascii="Arial Narrow" w:eastAsia="Times New Roman" w:hAnsi="Arial Narrow" w:cs="Arial"/>
                <w:b/>
                <w:bCs/>
                <w:sz w:val="24"/>
                <w:szCs w:val="24"/>
                <w:lang w:val="es-MX" w:eastAsia="es-MX"/>
              </w:rPr>
            </w:pPr>
            <w:r w:rsidRPr="00CD728B">
              <w:rPr>
                <w:rFonts w:ascii="Arial Narrow" w:eastAsia="Times New Roman" w:hAnsi="Arial Narrow" w:cs="Arial"/>
                <w:b/>
                <w:bCs/>
                <w:sz w:val="24"/>
                <w:szCs w:val="24"/>
                <w:lang w:val="es-MX" w:eastAsia="es-MX"/>
              </w:rPr>
              <w:t>Sujeto Obligado</w:t>
            </w:r>
          </w:p>
        </w:tc>
        <w:tc>
          <w:tcPr>
            <w:tcW w:w="1065" w:type="dxa"/>
            <w:tcBorders>
              <w:top w:val="nil"/>
              <w:left w:val="nil"/>
              <w:bottom w:val="single" w:sz="8" w:space="0" w:color="auto"/>
              <w:right w:val="single" w:sz="8" w:space="0" w:color="auto"/>
            </w:tcBorders>
            <w:shd w:val="clear" w:color="000000" w:fill="33CCCC"/>
            <w:noWrap/>
            <w:vAlign w:val="center"/>
            <w:hideMark/>
          </w:tcPr>
          <w:p w:rsidR="00940CBA" w:rsidRPr="00CD728B" w:rsidRDefault="00940CBA" w:rsidP="00D2376D">
            <w:pPr>
              <w:spacing w:before="100" w:beforeAutospacing="1" w:after="100" w:afterAutospacing="1" w:line="360" w:lineRule="auto"/>
              <w:contextualSpacing/>
              <w:jc w:val="center"/>
              <w:rPr>
                <w:rFonts w:ascii="Arial Narrow" w:eastAsia="Times New Roman" w:hAnsi="Arial Narrow" w:cs="Arial"/>
                <w:b/>
                <w:bCs/>
                <w:sz w:val="24"/>
                <w:szCs w:val="24"/>
                <w:lang w:val="es-MX" w:eastAsia="es-MX"/>
              </w:rPr>
            </w:pPr>
            <w:r w:rsidRPr="00CD728B">
              <w:rPr>
                <w:rFonts w:ascii="Arial Narrow" w:eastAsia="Times New Roman" w:hAnsi="Arial Narrow" w:cs="Arial"/>
                <w:b/>
                <w:bCs/>
                <w:sz w:val="24"/>
                <w:szCs w:val="24"/>
                <w:lang w:val="es-MX" w:eastAsia="es-MX"/>
              </w:rPr>
              <w:t>IGOT</w:t>
            </w:r>
          </w:p>
        </w:tc>
        <w:tc>
          <w:tcPr>
            <w:tcW w:w="1427" w:type="dxa"/>
            <w:tcBorders>
              <w:top w:val="nil"/>
              <w:left w:val="nil"/>
              <w:bottom w:val="single" w:sz="8" w:space="0" w:color="auto"/>
              <w:right w:val="single" w:sz="8" w:space="0" w:color="auto"/>
            </w:tcBorders>
            <w:shd w:val="clear" w:color="000000" w:fill="33CCCC"/>
            <w:noWrap/>
            <w:vAlign w:val="center"/>
            <w:hideMark/>
          </w:tcPr>
          <w:p w:rsidR="00940CBA" w:rsidRPr="00CD728B" w:rsidRDefault="00940CBA" w:rsidP="00D2376D">
            <w:pPr>
              <w:spacing w:before="100" w:beforeAutospacing="1" w:after="100" w:afterAutospacing="1" w:line="360" w:lineRule="auto"/>
              <w:contextualSpacing/>
              <w:jc w:val="center"/>
              <w:rPr>
                <w:rFonts w:ascii="Arial Narrow" w:eastAsia="Times New Roman" w:hAnsi="Arial Narrow" w:cs="Arial"/>
                <w:b/>
                <w:bCs/>
                <w:sz w:val="24"/>
                <w:szCs w:val="24"/>
                <w:lang w:val="es-MX" w:eastAsia="es-MX"/>
              </w:rPr>
            </w:pPr>
            <w:r w:rsidRPr="00CD728B">
              <w:rPr>
                <w:rFonts w:ascii="Arial Narrow" w:eastAsia="Times New Roman" w:hAnsi="Arial Narrow" w:cs="Arial"/>
                <w:b/>
                <w:bCs/>
                <w:sz w:val="24"/>
                <w:szCs w:val="24"/>
                <w:lang w:val="es-MX" w:eastAsia="es-MX"/>
              </w:rPr>
              <w:t>ICOT_PT</w:t>
            </w:r>
          </w:p>
        </w:tc>
        <w:tc>
          <w:tcPr>
            <w:tcW w:w="1114" w:type="dxa"/>
            <w:tcBorders>
              <w:top w:val="nil"/>
              <w:left w:val="nil"/>
              <w:bottom w:val="single" w:sz="8" w:space="0" w:color="auto"/>
              <w:right w:val="single" w:sz="8" w:space="0" w:color="auto"/>
            </w:tcBorders>
            <w:shd w:val="clear" w:color="000000" w:fill="33CCCC"/>
            <w:noWrap/>
            <w:vAlign w:val="center"/>
            <w:hideMark/>
          </w:tcPr>
          <w:p w:rsidR="00940CBA" w:rsidRPr="00CD728B" w:rsidRDefault="00940CBA" w:rsidP="00D2376D">
            <w:pPr>
              <w:spacing w:before="100" w:beforeAutospacing="1" w:after="100" w:afterAutospacing="1" w:line="360" w:lineRule="auto"/>
              <w:contextualSpacing/>
              <w:jc w:val="center"/>
              <w:rPr>
                <w:rFonts w:ascii="Arial Narrow" w:eastAsia="Times New Roman" w:hAnsi="Arial Narrow" w:cs="Arial"/>
                <w:b/>
                <w:bCs/>
                <w:sz w:val="24"/>
                <w:szCs w:val="24"/>
                <w:lang w:val="es-MX" w:eastAsia="es-MX"/>
              </w:rPr>
            </w:pPr>
            <w:r w:rsidRPr="00CD728B">
              <w:rPr>
                <w:rFonts w:ascii="Arial Narrow" w:eastAsia="Times New Roman" w:hAnsi="Arial Narrow" w:cs="Arial"/>
                <w:b/>
                <w:bCs/>
                <w:sz w:val="24"/>
                <w:szCs w:val="24"/>
                <w:lang w:val="es-MX" w:eastAsia="es-MX"/>
              </w:rPr>
              <w:t>ICOT_PNT</w:t>
            </w:r>
          </w:p>
        </w:tc>
      </w:tr>
      <w:tr w:rsidR="00940CBA" w:rsidRPr="00CD728B" w:rsidTr="006C722A">
        <w:trPr>
          <w:trHeight w:val="345"/>
          <w:jc w:val="center"/>
        </w:trPr>
        <w:tc>
          <w:tcPr>
            <w:tcW w:w="3745" w:type="dxa"/>
            <w:tcBorders>
              <w:top w:val="nil"/>
              <w:left w:val="single" w:sz="8" w:space="0" w:color="auto"/>
              <w:bottom w:val="single" w:sz="8" w:space="0" w:color="auto"/>
              <w:right w:val="single" w:sz="8" w:space="0" w:color="auto"/>
            </w:tcBorders>
            <w:shd w:val="clear" w:color="auto" w:fill="auto"/>
            <w:noWrap/>
            <w:vAlign w:val="center"/>
            <w:hideMark/>
          </w:tcPr>
          <w:p w:rsidR="00940CBA" w:rsidRPr="00CD728B" w:rsidRDefault="00D2376D" w:rsidP="002E7D47">
            <w:pPr>
              <w:spacing w:before="100" w:beforeAutospacing="1" w:after="100" w:afterAutospacing="1" w:line="360" w:lineRule="auto"/>
              <w:contextualSpacing/>
              <w:jc w:val="both"/>
              <w:rPr>
                <w:rFonts w:ascii="Arial Narrow" w:eastAsia="Times New Roman" w:hAnsi="Arial Narrow" w:cs="Arial"/>
                <w:sz w:val="24"/>
                <w:szCs w:val="24"/>
                <w:lang w:val="es-MX" w:eastAsia="es-MX"/>
              </w:rPr>
            </w:pPr>
            <w:r w:rsidRPr="00CD728B">
              <w:rPr>
                <w:rFonts w:ascii="Arial Narrow" w:eastAsia="Times New Roman" w:hAnsi="Arial Narrow" w:cs="Arial"/>
                <w:sz w:val="24"/>
                <w:szCs w:val="24"/>
                <w:lang w:val="es-MX" w:eastAsia="es-MX"/>
              </w:rPr>
              <w:t>Demarcación Política</w:t>
            </w:r>
            <w:r w:rsidR="00940CBA" w:rsidRPr="00CD728B">
              <w:rPr>
                <w:rFonts w:ascii="Arial Narrow" w:eastAsia="Times New Roman" w:hAnsi="Arial Narrow" w:cs="Arial"/>
                <w:sz w:val="24"/>
                <w:szCs w:val="24"/>
                <w:lang w:val="es-MX" w:eastAsia="es-MX"/>
              </w:rPr>
              <w:t xml:space="preserve"> Venustiano Carranza</w:t>
            </w:r>
          </w:p>
        </w:tc>
        <w:tc>
          <w:tcPr>
            <w:tcW w:w="1065" w:type="dxa"/>
            <w:tcBorders>
              <w:top w:val="nil"/>
              <w:left w:val="nil"/>
              <w:bottom w:val="single" w:sz="8" w:space="0" w:color="auto"/>
              <w:right w:val="single" w:sz="8" w:space="0" w:color="auto"/>
            </w:tcBorders>
            <w:shd w:val="clear" w:color="auto" w:fill="C9C9C9" w:themeFill="accent3" w:themeFillTint="99"/>
            <w:noWrap/>
            <w:vAlign w:val="center"/>
            <w:hideMark/>
          </w:tcPr>
          <w:p w:rsidR="00940CBA" w:rsidRPr="00CD728B" w:rsidRDefault="00940CBA" w:rsidP="00D2376D">
            <w:pPr>
              <w:spacing w:before="100" w:beforeAutospacing="1" w:after="100" w:afterAutospacing="1" w:line="360" w:lineRule="auto"/>
              <w:contextualSpacing/>
              <w:jc w:val="center"/>
              <w:rPr>
                <w:rFonts w:ascii="Arial Narrow" w:eastAsia="Times New Roman" w:hAnsi="Arial Narrow" w:cs="Arial"/>
                <w:sz w:val="24"/>
                <w:szCs w:val="24"/>
                <w:lang w:val="es-MX" w:eastAsia="es-MX"/>
              </w:rPr>
            </w:pPr>
            <w:r w:rsidRPr="00CD728B">
              <w:rPr>
                <w:rFonts w:ascii="Arial Narrow" w:eastAsia="Times New Roman" w:hAnsi="Arial Narrow" w:cs="Arial"/>
                <w:sz w:val="24"/>
                <w:szCs w:val="24"/>
                <w:lang w:val="es-MX" w:eastAsia="es-MX"/>
              </w:rPr>
              <w:t>87.9</w:t>
            </w:r>
          </w:p>
        </w:tc>
        <w:tc>
          <w:tcPr>
            <w:tcW w:w="1427" w:type="dxa"/>
            <w:tcBorders>
              <w:top w:val="nil"/>
              <w:left w:val="nil"/>
              <w:bottom w:val="single" w:sz="8" w:space="0" w:color="auto"/>
              <w:right w:val="single" w:sz="8" w:space="0" w:color="auto"/>
            </w:tcBorders>
            <w:shd w:val="clear" w:color="auto" w:fill="auto"/>
            <w:noWrap/>
            <w:vAlign w:val="center"/>
            <w:hideMark/>
          </w:tcPr>
          <w:p w:rsidR="00940CBA" w:rsidRPr="00CD728B" w:rsidRDefault="00940CBA" w:rsidP="00D2376D">
            <w:pPr>
              <w:spacing w:before="100" w:beforeAutospacing="1" w:after="100" w:afterAutospacing="1" w:line="360" w:lineRule="auto"/>
              <w:contextualSpacing/>
              <w:jc w:val="center"/>
              <w:rPr>
                <w:rFonts w:ascii="Arial Narrow" w:eastAsia="Times New Roman" w:hAnsi="Arial Narrow" w:cs="Arial"/>
                <w:sz w:val="24"/>
                <w:szCs w:val="24"/>
                <w:lang w:val="es-MX" w:eastAsia="es-MX"/>
              </w:rPr>
            </w:pPr>
            <w:r w:rsidRPr="00CD728B">
              <w:rPr>
                <w:rFonts w:ascii="Arial Narrow" w:eastAsia="Times New Roman" w:hAnsi="Arial Narrow" w:cs="Arial"/>
                <w:sz w:val="24"/>
                <w:szCs w:val="24"/>
                <w:lang w:val="es-MX" w:eastAsia="es-MX"/>
              </w:rPr>
              <w:t>93.74</w:t>
            </w:r>
          </w:p>
        </w:tc>
        <w:tc>
          <w:tcPr>
            <w:tcW w:w="1114" w:type="dxa"/>
            <w:tcBorders>
              <w:top w:val="nil"/>
              <w:left w:val="nil"/>
              <w:bottom w:val="single" w:sz="8" w:space="0" w:color="auto"/>
              <w:right w:val="single" w:sz="8" w:space="0" w:color="auto"/>
            </w:tcBorders>
            <w:shd w:val="clear" w:color="auto" w:fill="auto"/>
            <w:noWrap/>
            <w:vAlign w:val="center"/>
            <w:hideMark/>
          </w:tcPr>
          <w:p w:rsidR="00940CBA" w:rsidRPr="00CD728B" w:rsidRDefault="00940CBA" w:rsidP="00D2376D">
            <w:pPr>
              <w:spacing w:before="100" w:beforeAutospacing="1" w:after="100" w:afterAutospacing="1" w:line="360" w:lineRule="auto"/>
              <w:contextualSpacing/>
              <w:jc w:val="center"/>
              <w:rPr>
                <w:rFonts w:ascii="Arial Narrow" w:eastAsia="Times New Roman" w:hAnsi="Arial Narrow" w:cs="Arial"/>
                <w:sz w:val="24"/>
                <w:szCs w:val="24"/>
                <w:lang w:val="es-MX" w:eastAsia="es-MX"/>
              </w:rPr>
            </w:pPr>
            <w:r w:rsidRPr="00CD728B">
              <w:rPr>
                <w:rFonts w:ascii="Arial Narrow" w:eastAsia="Times New Roman" w:hAnsi="Arial Narrow" w:cs="Arial"/>
                <w:sz w:val="24"/>
                <w:szCs w:val="24"/>
                <w:lang w:val="es-MX" w:eastAsia="es-MX"/>
              </w:rPr>
              <w:t>82.06</w:t>
            </w:r>
          </w:p>
        </w:tc>
      </w:tr>
      <w:tr w:rsidR="00940CBA" w:rsidRPr="00CD728B" w:rsidTr="006C722A">
        <w:trPr>
          <w:trHeight w:val="345"/>
          <w:jc w:val="center"/>
        </w:trPr>
        <w:tc>
          <w:tcPr>
            <w:tcW w:w="3745" w:type="dxa"/>
            <w:tcBorders>
              <w:top w:val="nil"/>
              <w:left w:val="single" w:sz="8" w:space="0" w:color="auto"/>
              <w:bottom w:val="single" w:sz="8" w:space="0" w:color="auto"/>
              <w:right w:val="single" w:sz="8" w:space="0" w:color="auto"/>
            </w:tcBorders>
            <w:shd w:val="clear" w:color="auto" w:fill="auto"/>
            <w:noWrap/>
            <w:vAlign w:val="center"/>
            <w:hideMark/>
          </w:tcPr>
          <w:p w:rsidR="00940CBA" w:rsidRPr="00CD728B" w:rsidRDefault="00D2376D" w:rsidP="002E7D47">
            <w:pPr>
              <w:spacing w:before="100" w:beforeAutospacing="1" w:after="100" w:afterAutospacing="1" w:line="360" w:lineRule="auto"/>
              <w:contextualSpacing/>
              <w:jc w:val="both"/>
              <w:rPr>
                <w:rFonts w:ascii="Arial Narrow" w:eastAsia="Times New Roman" w:hAnsi="Arial Narrow" w:cs="Arial"/>
                <w:sz w:val="24"/>
                <w:szCs w:val="24"/>
                <w:lang w:val="es-MX" w:eastAsia="es-MX"/>
              </w:rPr>
            </w:pPr>
            <w:r w:rsidRPr="00CD728B">
              <w:rPr>
                <w:rFonts w:ascii="Arial Narrow" w:eastAsia="Times New Roman" w:hAnsi="Arial Narrow" w:cs="Arial"/>
                <w:sz w:val="24"/>
                <w:szCs w:val="24"/>
                <w:lang w:val="es-MX" w:eastAsia="es-MX"/>
              </w:rPr>
              <w:t>Demarcación Política</w:t>
            </w:r>
            <w:r w:rsidR="00940CBA" w:rsidRPr="00CD728B">
              <w:rPr>
                <w:rFonts w:ascii="Arial Narrow" w:eastAsia="Times New Roman" w:hAnsi="Arial Narrow" w:cs="Arial"/>
                <w:sz w:val="24"/>
                <w:szCs w:val="24"/>
                <w:lang w:val="es-MX" w:eastAsia="es-MX"/>
              </w:rPr>
              <w:t xml:space="preserve"> Cuauhtémoc</w:t>
            </w:r>
          </w:p>
        </w:tc>
        <w:tc>
          <w:tcPr>
            <w:tcW w:w="1065" w:type="dxa"/>
            <w:tcBorders>
              <w:top w:val="nil"/>
              <w:left w:val="nil"/>
              <w:bottom w:val="single" w:sz="8" w:space="0" w:color="auto"/>
              <w:right w:val="single" w:sz="8" w:space="0" w:color="auto"/>
            </w:tcBorders>
            <w:shd w:val="clear" w:color="auto" w:fill="C9C9C9" w:themeFill="accent3" w:themeFillTint="99"/>
            <w:noWrap/>
            <w:vAlign w:val="center"/>
            <w:hideMark/>
          </w:tcPr>
          <w:p w:rsidR="00940CBA" w:rsidRPr="00CD728B" w:rsidRDefault="00940CBA" w:rsidP="00D2376D">
            <w:pPr>
              <w:spacing w:before="100" w:beforeAutospacing="1" w:after="100" w:afterAutospacing="1" w:line="360" w:lineRule="auto"/>
              <w:contextualSpacing/>
              <w:jc w:val="center"/>
              <w:rPr>
                <w:rFonts w:ascii="Arial Narrow" w:eastAsia="Times New Roman" w:hAnsi="Arial Narrow" w:cs="Arial"/>
                <w:sz w:val="24"/>
                <w:szCs w:val="24"/>
                <w:lang w:val="es-MX" w:eastAsia="es-MX"/>
              </w:rPr>
            </w:pPr>
            <w:r w:rsidRPr="00CD728B">
              <w:rPr>
                <w:rFonts w:ascii="Arial Narrow" w:eastAsia="Times New Roman" w:hAnsi="Arial Narrow" w:cs="Arial"/>
                <w:sz w:val="24"/>
                <w:szCs w:val="24"/>
                <w:lang w:val="es-MX" w:eastAsia="es-MX"/>
              </w:rPr>
              <w:t>83.59</w:t>
            </w:r>
          </w:p>
        </w:tc>
        <w:tc>
          <w:tcPr>
            <w:tcW w:w="1427" w:type="dxa"/>
            <w:tcBorders>
              <w:top w:val="nil"/>
              <w:left w:val="nil"/>
              <w:bottom w:val="single" w:sz="8" w:space="0" w:color="auto"/>
              <w:right w:val="single" w:sz="8" w:space="0" w:color="auto"/>
            </w:tcBorders>
            <w:shd w:val="clear" w:color="auto" w:fill="auto"/>
            <w:noWrap/>
            <w:vAlign w:val="center"/>
            <w:hideMark/>
          </w:tcPr>
          <w:p w:rsidR="00940CBA" w:rsidRPr="00CD728B" w:rsidRDefault="00940CBA" w:rsidP="00D2376D">
            <w:pPr>
              <w:spacing w:before="100" w:beforeAutospacing="1" w:after="100" w:afterAutospacing="1" w:line="360" w:lineRule="auto"/>
              <w:contextualSpacing/>
              <w:jc w:val="center"/>
              <w:rPr>
                <w:rFonts w:ascii="Arial Narrow" w:eastAsia="Times New Roman" w:hAnsi="Arial Narrow" w:cs="Arial"/>
                <w:sz w:val="24"/>
                <w:szCs w:val="24"/>
                <w:lang w:val="es-MX" w:eastAsia="es-MX"/>
              </w:rPr>
            </w:pPr>
            <w:r w:rsidRPr="00CD728B">
              <w:rPr>
                <w:rFonts w:ascii="Arial Narrow" w:eastAsia="Times New Roman" w:hAnsi="Arial Narrow" w:cs="Arial"/>
                <w:sz w:val="24"/>
                <w:szCs w:val="24"/>
                <w:lang w:val="es-MX" w:eastAsia="es-MX"/>
              </w:rPr>
              <w:t>76.67</w:t>
            </w:r>
          </w:p>
        </w:tc>
        <w:tc>
          <w:tcPr>
            <w:tcW w:w="1114" w:type="dxa"/>
            <w:tcBorders>
              <w:top w:val="nil"/>
              <w:left w:val="nil"/>
              <w:bottom w:val="single" w:sz="8" w:space="0" w:color="auto"/>
              <w:right w:val="single" w:sz="8" w:space="0" w:color="auto"/>
            </w:tcBorders>
            <w:shd w:val="clear" w:color="auto" w:fill="auto"/>
            <w:noWrap/>
            <w:vAlign w:val="center"/>
            <w:hideMark/>
          </w:tcPr>
          <w:p w:rsidR="00940CBA" w:rsidRPr="00CD728B" w:rsidRDefault="00940CBA" w:rsidP="00D2376D">
            <w:pPr>
              <w:spacing w:before="100" w:beforeAutospacing="1" w:after="100" w:afterAutospacing="1" w:line="360" w:lineRule="auto"/>
              <w:contextualSpacing/>
              <w:jc w:val="center"/>
              <w:rPr>
                <w:rFonts w:ascii="Arial Narrow" w:eastAsia="Times New Roman" w:hAnsi="Arial Narrow" w:cs="Arial"/>
                <w:sz w:val="24"/>
                <w:szCs w:val="24"/>
                <w:lang w:val="es-MX" w:eastAsia="es-MX"/>
              </w:rPr>
            </w:pPr>
            <w:r w:rsidRPr="00CD728B">
              <w:rPr>
                <w:rFonts w:ascii="Arial Narrow" w:eastAsia="Times New Roman" w:hAnsi="Arial Narrow" w:cs="Arial"/>
                <w:sz w:val="24"/>
                <w:szCs w:val="24"/>
                <w:lang w:val="es-MX" w:eastAsia="es-MX"/>
              </w:rPr>
              <w:t>90.5</w:t>
            </w:r>
          </w:p>
        </w:tc>
      </w:tr>
      <w:tr w:rsidR="00940CBA" w:rsidRPr="00CD728B" w:rsidTr="006C722A">
        <w:trPr>
          <w:trHeight w:val="345"/>
          <w:jc w:val="center"/>
        </w:trPr>
        <w:tc>
          <w:tcPr>
            <w:tcW w:w="3745" w:type="dxa"/>
            <w:tcBorders>
              <w:top w:val="nil"/>
              <w:left w:val="single" w:sz="8" w:space="0" w:color="auto"/>
              <w:bottom w:val="single" w:sz="8" w:space="0" w:color="auto"/>
              <w:right w:val="single" w:sz="8" w:space="0" w:color="auto"/>
            </w:tcBorders>
            <w:shd w:val="clear" w:color="auto" w:fill="auto"/>
            <w:noWrap/>
            <w:vAlign w:val="center"/>
            <w:hideMark/>
          </w:tcPr>
          <w:p w:rsidR="00940CBA" w:rsidRPr="00CD728B" w:rsidRDefault="00D2376D" w:rsidP="002E7D47">
            <w:pPr>
              <w:spacing w:before="100" w:beforeAutospacing="1" w:after="100" w:afterAutospacing="1" w:line="360" w:lineRule="auto"/>
              <w:contextualSpacing/>
              <w:jc w:val="both"/>
              <w:rPr>
                <w:rFonts w:ascii="Arial Narrow" w:eastAsia="Times New Roman" w:hAnsi="Arial Narrow" w:cs="Arial"/>
                <w:sz w:val="24"/>
                <w:szCs w:val="24"/>
                <w:lang w:val="es-MX" w:eastAsia="es-MX"/>
              </w:rPr>
            </w:pPr>
            <w:r w:rsidRPr="00CD728B">
              <w:rPr>
                <w:rFonts w:ascii="Arial Narrow" w:eastAsia="Times New Roman" w:hAnsi="Arial Narrow" w:cs="Arial"/>
                <w:sz w:val="24"/>
                <w:szCs w:val="24"/>
                <w:lang w:val="es-MX" w:eastAsia="es-MX"/>
              </w:rPr>
              <w:t>Demarcación Política</w:t>
            </w:r>
            <w:r w:rsidR="00940CBA" w:rsidRPr="00CD728B">
              <w:rPr>
                <w:rFonts w:ascii="Arial Narrow" w:eastAsia="Times New Roman" w:hAnsi="Arial Narrow" w:cs="Arial"/>
                <w:sz w:val="24"/>
                <w:szCs w:val="24"/>
                <w:lang w:val="es-MX" w:eastAsia="es-MX"/>
              </w:rPr>
              <w:t xml:space="preserve"> Álvaro Obregón</w:t>
            </w:r>
          </w:p>
        </w:tc>
        <w:tc>
          <w:tcPr>
            <w:tcW w:w="1065" w:type="dxa"/>
            <w:tcBorders>
              <w:top w:val="nil"/>
              <w:left w:val="nil"/>
              <w:bottom w:val="single" w:sz="8" w:space="0" w:color="auto"/>
              <w:right w:val="single" w:sz="8" w:space="0" w:color="auto"/>
            </w:tcBorders>
            <w:shd w:val="clear" w:color="auto" w:fill="C9C9C9" w:themeFill="accent3" w:themeFillTint="99"/>
            <w:noWrap/>
            <w:vAlign w:val="center"/>
            <w:hideMark/>
          </w:tcPr>
          <w:p w:rsidR="00940CBA" w:rsidRPr="00CD728B" w:rsidRDefault="00940CBA" w:rsidP="00D2376D">
            <w:pPr>
              <w:spacing w:before="100" w:beforeAutospacing="1" w:after="100" w:afterAutospacing="1" w:line="360" w:lineRule="auto"/>
              <w:contextualSpacing/>
              <w:jc w:val="center"/>
              <w:rPr>
                <w:rFonts w:ascii="Arial Narrow" w:eastAsia="Times New Roman" w:hAnsi="Arial Narrow" w:cs="Arial"/>
                <w:sz w:val="24"/>
                <w:szCs w:val="24"/>
                <w:lang w:val="es-MX" w:eastAsia="es-MX"/>
              </w:rPr>
            </w:pPr>
            <w:r w:rsidRPr="00CD728B">
              <w:rPr>
                <w:rFonts w:ascii="Arial Narrow" w:eastAsia="Times New Roman" w:hAnsi="Arial Narrow" w:cs="Arial"/>
                <w:sz w:val="24"/>
                <w:szCs w:val="24"/>
                <w:lang w:val="es-MX" w:eastAsia="es-MX"/>
              </w:rPr>
              <w:t>79.79</w:t>
            </w:r>
          </w:p>
        </w:tc>
        <w:tc>
          <w:tcPr>
            <w:tcW w:w="1427" w:type="dxa"/>
            <w:tcBorders>
              <w:top w:val="nil"/>
              <w:left w:val="nil"/>
              <w:bottom w:val="single" w:sz="8" w:space="0" w:color="auto"/>
              <w:right w:val="single" w:sz="8" w:space="0" w:color="auto"/>
            </w:tcBorders>
            <w:shd w:val="clear" w:color="auto" w:fill="auto"/>
            <w:noWrap/>
            <w:vAlign w:val="center"/>
            <w:hideMark/>
          </w:tcPr>
          <w:p w:rsidR="00940CBA" w:rsidRPr="00CD728B" w:rsidRDefault="00940CBA" w:rsidP="00D2376D">
            <w:pPr>
              <w:spacing w:before="100" w:beforeAutospacing="1" w:after="100" w:afterAutospacing="1" w:line="360" w:lineRule="auto"/>
              <w:contextualSpacing/>
              <w:jc w:val="center"/>
              <w:rPr>
                <w:rFonts w:ascii="Arial Narrow" w:eastAsia="Times New Roman" w:hAnsi="Arial Narrow" w:cs="Arial"/>
                <w:sz w:val="24"/>
                <w:szCs w:val="24"/>
                <w:lang w:val="es-MX" w:eastAsia="es-MX"/>
              </w:rPr>
            </w:pPr>
            <w:r w:rsidRPr="00CD728B">
              <w:rPr>
                <w:rFonts w:ascii="Arial Narrow" w:eastAsia="Times New Roman" w:hAnsi="Arial Narrow" w:cs="Arial"/>
                <w:sz w:val="24"/>
                <w:szCs w:val="24"/>
                <w:lang w:val="es-MX" w:eastAsia="es-MX"/>
              </w:rPr>
              <w:t>74.71</w:t>
            </w:r>
          </w:p>
        </w:tc>
        <w:tc>
          <w:tcPr>
            <w:tcW w:w="1114" w:type="dxa"/>
            <w:tcBorders>
              <w:top w:val="nil"/>
              <w:left w:val="nil"/>
              <w:bottom w:val="single" w:sz="8" w:space="0" w:color="auto"/>
              <w:right w:val="single" w:sz="8" w:space="0" w:color="auto"/>
            </w:tcBorders>
            <w:shd w:val="clear" w:color="auto" w:fill="auto"/>
            <w:noWrap/>
            <w:vAlign w:val="center"/>
            <w:hideMark/>
          </w:tcPr>
          <w:p w:rsidR="00940CBA" w:rsidRPr="00CD728B" w:rsidRDefault="00940CBA" w:rsidP="00D2376D">
            <w:pPr>
              <w:spacing w:before="100" w:beforeAutospacing="1" w:after="100" w:afterAutospacing="1" w:line="360" w:lineRule="auto"/>
              <w:contextualSpacing/>
              <w:jc w:val="center"/>
              <w:rPr>
                <w:rFonts w:ascii="Arial Narrow" w:eastAsia="Times New Roman" w:hAnsi="Arial Narrow" w:cs="Arial"/>
                <w:sz w:val="24"/>
                <w:szCs w:val="24"/>
                <w:lang w:val="es-MX" w:eastAsia="es-MX"/>
              </w:rPr>
            </w:pPr>
            <w:r w:rsidRPr="00CD728B">
              <w:rPr>
                <w:rFonts w:ascii="Arial Narrow" w:eastAsia="Times New Roman" w:hAnsi="Arial Narrow" w:cs="Arial"/>
                <w:sz w:val="24"/>
                <w:szCs w:val="24"/>
                <w:lang w:val="es-MX" w:eastAsia="es-MX"/>
              </w:rPr>
              <w:t>84.87</w:t>
            </w:r>
          </w:p>
        </w:tc>
      </w:tr>
      <w:tr w:rsidR="00940CBA" w:rsidRPr="00CD728B" w:rsidTr="006C722A">
        <w:trPr>
          <w:trHeight w:val="345"/>
          <w:jc w:val="center"/>
        </w:trPr>
        <w:tc>
          <w:tcPr>
            <w:tcW w:w="3745" w:type="dxa"/>
            <w:tcBorders>
              <w:top w:val="nil"/>
              <w:left w:val="single" w:sz="8" w:space="0" w:color="auto"/>
              <w:bottom w:val="single" w:sz="8" w:space="0" w:color="auto"/>
              <w:right w:val="single" w:sz="8" w:space="0" w:color="auto"/>
            </w:tcBorders>
            <w:shd w:val="clear" w:color="auto" w:fill="auto"/>
            <w:noWrap/>
            <w:vAlign w:val="center"/>
            <w:hideMark/>
          </w:tcPr>
          <w:p w:rsidR="00940CBA" w:rsidRPr="00CD728B" w:rsidRDefault="00D2376D" w:rsidP="002E7D47">
            <w:pPr>
              <w:spacing w:before="100" w:beforeAutospacing="1" w:after="100" w:afterAutospacing="1" w:line="360" w:lineRule="auto"/>
              <w:contextualSpacing/>
              <w:jc w:val="both"/>
              <w:rPr>
                <w:rFonts w:ascii="Arial Narrow" w:eastAsia="Times New Roman" w:hAnsi="Arial Narrow" w:cs="Arial"/>
                <w:sz w:val="24"/>
                <w:szCs w:val="24"/>
                <w:lang w:val="es-MX" w:eastAsia="es-MX"/>
              </w:rPr>
            </w:pPr>
            <w:r w:rsidRPr="00CD728B">
              <w:rPr>
                <w:rFonts w:ascii="Arial Narrow" w:eastAsia="Times New Roman" w:hAnsi="Arial Narrow" w:cs="Arial"/>
                <w:sz w:val="24"/>
                <w:szCs w:val="24"/>
                <w:lang w:val="es-MX" w:eastAsia="es-MX"/>
              </w:rPr>
              <w:t>Demarcación Política</w:t>
            </w:r>
            <w:r w:rsidR="00940CBA" w:rsidRPr="00CD728B">
              <w:rPr>
                <w:rFonts w:ascii="Arial Narrow" w:eastAsia="Times New Roman" w:hAnsi="Arial Narrow" w:cs="Arial"/>
                <w:sz w:val="24"/>
                <w:szCs w:val="24"/>
                <w:lang w:val="es-MX" w:eastAsia="es-MX"/>
              </w:rPr>
              <w:t xml:space="preserve"> Cuajimalpa de Morelos</w:t>
            </w:r>
          </w:p>
        </w:tc>
        <w:tc>
          <w:tcPr>
            <w:tcW w:w="1065" w:type="dxa"/>
            <w:tcBorders>
              <w:top w:val="nil"/>
              <w:left w:val="nil"/>
              <w:bottom w:val="single" w:sz="8" w:space="0" w:color="auto"/>
              <w:right w:val="single" w:sz="8" w:space="0" w:color="auto"/>
            </w:tcBorders>
            <w:shd w:val="clear" w:color="auto" w:fill="C9C9C9" w:themeFill="accent3" w:themeFillTint="99"/>
            <w:noWrap/>
            <w:vAlign w:val="center"/>
            <w:hideMark/>
          </w:tcPr>
          <w:p w:rsidR="00940CBA" w:rsidRPr="00CD728B" w:rsidRDefault="00940CBA" w:rsidP="00D2376D">
            <w:pPr>
              <w:spacing w:before="100" w:beforeAutospacing="1" w:after="100" w:afterAutospacing="1" w:line="360" w:lineRule="auto"/>
              <w:contextualSpacing/>
              <w:jc w:val="center"/>
              <w:rPr>
                <w:rFonts w:ascii="Arial Narrow" w:eastAsia="Times New Roman" w:hAnsi="Arial Narrow" w:cs="Arial"/>
                <w:sz w:val="24"/>
                <w:szCs w:val="24"/>
                <w:lang w:val="es-MX" w:eastAsia="es-MX"/>
              </w:rPr>
            </w:pPr>
            <w:r w:rsidRPr="00CD728B">
              <w:rPr>
                <w:rFonts w:ascii="Arial Narrow" w:eastAsia="Times New Roman" w:hAnsi="Arial Narrow" w:cs="Arial"/>
                <w:sz w:val="24"/>
                <w:szCs w:val="24"/>
                <w:lang w:val="es-MX" w:eastAsia="es-MX"/>
              </w:rPr>
              <w:t>79.79</w:t>
            </w:r>
          </w:p>
        </w:tc>
        <w:tc>
          <w:tcPr>
            <w:tcW w:w="1427" w:type="dxa"/>
            <w:tcBorders>
              <w:top w:val="nil"/>
              <w:left w:val="nil"/>
              <w:bottom w:val="single" w:sz="8" w:space="0" w:color="auto"/>
              <w:right w:val="single" w:sz="8" w:space="0" w:color="auto"/>
            </w:tcBorders>
            <w:shd w:val="clear" w:color="auto" w:fill="auto"/>
            <w:noWrap/>
            <w:vAlign w:val="center"/>
            <w:hideMark/>
          </w:tcPr>
          <w:p w:rsidR="00940CBA" w:rsidRPr="00CD728B" w:rsidRDefault="00940CBA" w:rsidP="00D2376D">
            <w:pPr>
              <w:spacing w:before="100" w:beforeAutospacing="1" w:after="100" w:afterAutospacing="1" w:line="360" w:lineRule="auto"/>
              <w:contextualSpacing/>
              <w:jc w:val="center"/>
              <w:rPr>
                <w:rFonts w:ascii="Arial Narrow" w:eastAsia="Times New Roman" w:hAnsi="Arial Narrow" w:cs="Arial"/>
                <w:sz w:val="24"/>
                <w:szCs w:val="24"/>
                <w:lang w:val="es-MX" w:eastAsia="es-MX"/>
              </w:rPr>
            </w:pPr>
            <w:r w:rsidRPr="00CD728B">
              <w:rPr>
                <w:rFonts w:ascii="Arial Narrow" w:eastAsia="Times New Roman" w:hAnsi="Arial Narrow" w:cs="Arial"/>
                <w:sz w:val="24"/>
                <w:szCs w:val="24"/>
                <w:lang w:val="es-MX" w:eastAsia="es-MX"/>
              </w:rPr>
              <w:t>78.15</w:t>
            </w:r>
          </w:p>
        </w:tc>
        <w:tc>
          <w:tcPr>
            <w:tcW w:w="1114" w:type="dxa"/>
            <w:tcBorders>
              <w:top w:val="nil"/>
              <w:left w:val="nil"/>
              <w:bottom w:val="single" w:sz="8" w:space="0" w:color="auto"/>
              <w:right w:val="single" w:sz="8" w:space="0" w:color="auto"/>
            </w:tcBorders>
            <w:shd w:val="clear" w:color="auto" w:fill="auto"/>
            <w:noWrap/>
            <w:vAlign w:val="center"/>
            <w:hideMark/>
          </w:tcPr>
          <w:p w:rsidR="00940CBA" w:rsidRPr="00CD728B" w:rsidRDefault="00940CBA" w:rsidP="00D2376D">
            <w:pPr>
              <w:spacing w:before="100" w:beforeAutospacing="1" w:after="100" w:afterAutospacing="1" w:line="360" w:lineRule="auto"/>
              <w:contextualSpacing/>
              <w:jc w:val="center"/>
              <w:rPr>
                <w:rFonts w:ascii="Arial Narrow" w:eastAsia="Times New Roman" w:hAnsi="Arial Narrow" w:cs="Arial"/>
                <w:sz w:val="24"/>
                <w:szCs w:val="24"/>
                <w:lang w:val="es-MX" w:eastAsia="es-MX"/>
              </w:rPr>
            </w:pPr>
            <w:r w:rsidRPr="00CD728B">
              <w:rPr>
                <w:rFonts w:ascii="Arial Narrow" w:eastAsia="Times New Roman" w:hAnsi="Arial Narrow" w:cs="Arial"/>
                <w:sz w:val="24"/>
                <w:szCs w:val="24"/>
                <w:lang w:val="es-MX" w:eastAsia="es-MX"/>
              </w:rPr>
              <w:t>81.43</w:t>
            </w:r>
          </w:p>
        </w:tc>
      </w:tr>
      <w:tr w:rsidR="00940CBA" w:rsidRPr="00CD728B" w:rsidTr="006C722A">
        <w:trPr>
          <w:trHeight w:val="345"/>
          <w:jc w:val="center"/>
        </w:trPr>
        <w:tc>
          <w:tcPr>
            <w:tcW w:w="3745" w:type="dxa"/>
            <w:tcBorders>
              <w:top w:val="nil"/>
              <w:left w:val="single" w:sz="8" w:space="0" w:color="auto"/>
              <w:bottom w:val="single" w:sz="8" w:space="0" w:color="auto"/>
              <w:right w:val="single" w:sz="8" w:space="0" w:color="auto"/>
            </w:tcBorders>
            <w:shd w:val="clear" w:color="auto" w:fill="auto"/>
            <w:noWrap/>
            <w:vAlign w:val="center"/>
            <w:hideMark/>
          </w:tcPr>
          <w:p w:rsidR="00940CBA" w:rsidRPr="00CD728B" w:rsidRDefault="00D2376D" w:rsidP="002E7D47">
            <w:pPr>
              <w:spacing w:before="100" w:beforeAutospacing="1" w:after="100" w:afterAutospacing="1" w:line="360" w:lineRule="auto"/>
              <w:contextualSpacing/>
              <w:jc w:val="both"/>
              <w:rPr>
                <w:rFonts w:ascii="Arial Narrow" w:eastAsia="Times New Roman" w:hAnsi="Arial Narrow" w:cs="Arial"/>
                <w:sz w:val="24"/>
                <w:szCs w:val="24"/>
                <w:lang w:val="es-MX" w:eastAsia="es-MX"/>
              </w:rPr>
            </w:pPr>
            <w:r w:rsidRPr="00CD728B">
              <w:rPr>
                <w:rFonts w:ascii="Arial Narrow" w:eastAsia="Times New Roman" w:hAnsi="Arial Narrow" w:cs="Arial"/>
                <w:sz w:val="24"/>
                <w:szCs w:val="24"/>
                <w:lang w:val="es-MX" w:eastAsia="es-MX"/>
              </w:rPr>
              <w:t>Demarcación Política</w:t>
            </w:r>
            <w:r w:rsidR="00940CBA" w:rsidRPr="00CD728B">
              <w:rPr>
                <w:rFonts w:ascii="Arial Narrow" w:eastAsia="Times New Roman" w:hAnsi="Arial Narrow" w:cs="Arial"/>
                <w:sz w:val="24"/>
                <w:szCs w:val="24"/>
                <w:lang w:val="es-MX" w:eastAsia="es-MX"/>
              </w:rPr>
              <w:t xml:space="preserve"> Tláhuac</w:t>
            </w:r>
          </w:p>
        </w:tc>
        <w:tc>
          <w:tcPr>
            <w:tcW w:w="1065" w:type="dxa"/>
            <w:tcBorders>
              <w:top w:val="nil"/>
              <w:left w:val="nil"/>
              <w:bottom w:val="single" w:sz="8" w:space="0" w:color="auto"/>
              <w:right w:val="single" w:sz="8" w:space="0" w:color="auto"/>
            </w:tcBorders>
            <w:shd w:val="clear" w:color="auto" w:fill="C9C9C9" w:themeFill="accent3" w:themeFillTint="99"/>
            <w:noWrap/>
            <w:vAlign w:val="center"/>
            <w:hideMark/>
          </w:tcPr>
          <w:p w:rsidR="00940CBA" w:rsidRPr="00CD728B" w:rsidRDefault="00940CBA" w:rsidP="00D2376D">
            <w:pPr>
              <w:spacing w:before="100" w:beforeAutospacing="1" w:after="100" w:afterAutospacing="1" w:line="360" w:lineRule="auto"/>
              <w:contextualSpacing/>
              <w:jc w:val="center"/>
              <w:rPr>
                <w:rFonts w:ascii="Arial Narrow" w:eastAsia="Times New Roman" w:hAnsi="Arial Narrow" w:cs="Arial"/>
                <w:sz w:val="24"/>
                <w:szCs w:val="24"/>
                <w:lang w:val="es-MX" w:eastAsia="es-MX"/>
              </w:rPr>
            </w:pPr>
            <w:r w:rsidRPr="00CD728B">
              <w:rPr>
                <w:rFonts w:ascii="Arial Narrow" w:eastAsia="Times New Roman" w:hAnsi="Arial Narrow" w:cs="Arial"/>
                <w:sz w:val="24"/>
                <w:szCs w:val="24"/>
                <w:lang w:val="es-MX" w:eastAsia="es-MX"/>
              </w:rPr>
              <w:t>78.11</w:t>
            </w:r>
          </w:p>
        </w:tc>
        <w:tc>
          <w:tcPr>
            <w:tcW w:w="1427" w:type="dxa"/>
            <w:tcBorders>
              <w:top w:val="nil"/>
              <w:left w:val="nil"/>
              <w:bottom w:val="single" w:sz="8" w:space="0" w:color="auto"/>
              <w:right w:val="single" w:sz="8" w:space="0" w:color="auto"/>
            </w:tcBorders>
            <w:shd w:val="clear" w:color="auto" w:fill="auto"/>
            <w:noWrap/>
            <w:vAlign w:val="center"/>
            <w:hideMark/>
          </w:tcPr>
          <w:p w:rsidR="00940CBA" w:rsidRPr="00CD728B" w:rsidRDefault="00940CBA" w:rsidP="00D2376D">
            <w:pPr>
              <w:spacing w:before="100" w:beforeAutospacing="1" w:after="100" w:afterAutospacing="1" w:line="360" w:lineRule="auto"/>
              <w:contextualSpacing/>
              <w:jc w:val="center"/>
              <w:rPr>
                <w:rFonts w:ascii="Arial Narrow" w:eastAsia="Times New Roman" w:hAnsi="Arial Narrow" w:cs="Arial"/>
                <w:sz w:val="24"/>
                <w:szCs w:val="24"/>
                <w:lang w:val="es-MX" w:eastAsia="es-MX"/>
              </w:rPr>
            </w:pPr>
            <w:r w:rsidRPr="00CD728B">
              <w:rPr>
                <w:rFonts w:ascii="Arial Narrow" w:eastAsia="Times New Roman" w:hAnsi="Arial Narrow" w:cs="Arial"/>
                <w:sz w:val="24"/>
                <w:szCs w:val="24"/>
                <w:lang w:val="es-MX" w:eastAsia="es-MX"/>
              </w:rPr>
              <w:t>63.18</w:t>
            </w:r>
          </w:p>
        </w:tc>
        <w:tc>
          <w:tcPr>
            <w:tcW w:w="1114" w:type="dxa"/>
            <w:tcBorders>
              <w:top w:val="nil"/>
              <w:left w:val="nil"/>
              <w:bottom w:val="single" w:sz="8" w:space="0" w:color="auto"/>
              <w:right w:val="single" w:sz="8" w:space="0" w:color="auto"/>
            </w:tcBorders>
            <w:shd w:val="clear" w:color="auto" w:fill="auto"/>
            <w:noWrap/>
            <w:vAlign w:val="center"/>
            <w:hideMark/>
          </w:tcPr>
          <w:p w:rsidR="00940CBA" w:rsidRPr="00CD728B" w:rsidRDefault="00940CBA" w:rsidP="00D2376D">
            <w:pPr>
              <w:spacing w:before="100" w:beforeAutospacing="1" w:after="100" w:afterAutospacing="1" w:line="360" w:lineRule="auto"/>
              <w:contextualSpacing/>
              <w:jc w:val="center"/>
              <w:rPr>
                <w:rFonts w:ascii="Arial Narrow" w:eastAsia="Times New Roman" w:hAnsi="Arial Narrow" w:cs="Arial"/>
                <w:sz w:val="24"/>
                <w:szCs w:val="24"/>
                <w:lang w:val="es-MX" w:eastAsia="es-MX"/>
              </w:rPr>
            </w:pPr>
            <w:r w:rsidRPr="00CD728B">
              <w:rPr>
                <w:rFonts w:ascii="Arial Narrow" w:eastAsia="Times New Roman" w:hAnsi="Arial Narrow" w:cs="Arial"/>
                <w:sz w:val="24"/>
                <w:szCs w:val="24"/>
                <w:lang w:val="es-MX" w:eastAsia="es-MX"/>
              </w:rPr>
              <w:t>93.05</w:t>
            </w:r>
          </w:p>
        </w:tc>
      </w:tr>
      <w:tr w:rsidR="00940CBA" w:rsidRPr="00CD728B" w:rsidTr="006C722A">
        <w:trPr>
          <w:trHeight w:val="345"/>
          <w:jc w:val="center"/>
        </w:trPr>
        <w:tc>
          <w:tcPr>
            <w:tcW w:w="3745" w:type="dxa"/>
            <w:tcBorders>
              <w:top w:val="nil"/>
              <w:left w:val="single" w:sz="8" w:space="0" w:color="auto"/>
              <w:bottom w:val="single" w:sz="8" w:space="0" w:color="auto"/>
              <w:right w:val="single" w:sz="8" w:space="0" w:color="auto"/>
            </w:tcBorders>
            <w:shd w:val="clear" w:color="auto" w:fill="auto"/>
            <w:noWrap/>
            <w:vAlign w:val="center"/>
            <w:hideMark/>
          </w:tcPr>
          <w:p w:rsidR="00940CBA" w:rsidRPr="00CD728B" w:rsidRDefault="00D2376D" w:rsidP="002E7D47">
            <w:pPr>
              <w:spacing w:before="100" w:beforeAutospacing="1" w:after="100" w:afterAutospacing="1" w:line="360" w:lineRule="auto"/>
              <w:contextualSpacing/>
              <w:jc w:val="both"/>
              <w:rPr>
                <w:rFonts w:ascii="Arial Narrow" w:eastAsia="Times New Roman" w:hAnsi="Arial Narrow" w:cs="Arial"/>
                <w:sz w:val="24"/>
                <w:szCs w:val="24"/>
                <w:lang w:val="es-MX" w:eastAsia="es-MX"/>
              </w:rPr>
            </w:pPr>
            <w:r w:rsidRPr="00CD728B">
              <w:rPr>
                <w:rFonts w:ascii="Arial Narrow" w:eastAsia="Times New Roman" w:hAnsi="Arial Narrow" w:cs="Arial"/>
                <w:sz w:val="24"/>
                <w:szCs w:val="24"/>
                <w:lang w:val="es-MX" w:eastAsia="es-MX"/>
              </w:rPr>
              <w:t>Demarcación Política</w:t>
            </w:r>
            <w:r w:rsidR="00940CBA" w:rsidRPr="00CD728B">
              <w:rPr>
                <w:rFonts w:ascii="Arial Narrow" w:eastAsia="Times New Roman" w:hAnsi="Arial Narrow" w:cs="Arial"/>
                <w:sz w:val="24"/>
                <w:szCs w:val="24"/>
                <w:lang w:val="es-MX" w:eastAsia="es-MX"/>
              </w:rPr>
              <w:t xml:space="preserve"> La Magdalena Contreras</w:t>
            </w:r>
          </w:p>
        </w:tc>
        <w:tc>
          <w:tcPr>
            <w:tcW w:w="1065" w:type="dxa"/>
            <w:tcBorders>
              <w:top w:val="nil"/>
              <w:left w:val="nil"/>
              <w:bottom w:val="single" w:sz="8" w:space="0" w:color="auto"/>
              <w:right w:val="single" w:sz="8" w:space="0" w:color="auto"/>
            </w:tcBorders>
            <w:shd w:val="clear" w:color="auto" w:fill="C9C9C9" w:themeFill="accent3" w:themeFillTint="99"/>
            <w:noWrap/>
            <w:vAlign w:val="center"/>
            <w:hideMark/>
          </w:tcPr>
          <w:p w:rsidR="00940CBA" w:rsidRPr="00CD728B" w:rsidRDefault="00940CBA" w:rsidP="00D2376D">
            <w:pPr>
              <w:spacing w:before="100" w:beforeAutospacing="1" w:after="100" w:afterAutospacing="1" w:line="360" w:lineRule="auto"/>
              <w:contextualSpacing/>
              <w:jc w:val="center"/>
              <w:rPr>
                <w:rFonts w:ascii="Arial Narrow" w:eastAsia="Times New Roman" w:hAnsi="Arial Narrow" w:cs="Arial"/>
                <w:sz w:val="24"/>
                <w:szCs w:val="24"/>
                <w:lang w:val="es-MX" w:eastAsia="es-MX"/>
              </w:rPr>
            </w:pPr>
            <w:r w:rsidRPr="00CD728B">
              <w:rPr>
                <w:rFonts w:ascii="Arial Narrow" w:eastAsia="Times New Roman" w:hAnsi="Arial Narrow" w:cs="Arial"/>
                <w:sz w:val="24"/>
                <w:szCs w:val="24"/>
                <w:lang w:val="es-MX" w:eastAsia="es-MX"/>
              </w:rPr>
              <w:t>75.94</w:t>
            </w:r>
          </w:p>
        </w:tc>
        <w:tc>
          <w:tcPr>
            <w:tcW w:w="1427" w:type="dxa"/>
            <w:tcBorders>
              <w:top w:val="nil"/>
              <w:left w:val="nil"/>
              <w:bottom w:val="single" w:sz="8" w:space="0" w:color="auto"/>
              <w:right w:val="single" w:sz="8" w:space="0" w:color="auto"/>
            </w:tcBorders>
            <w:shd w:val="clear" w:color="auto" w:fill="auto"/>
            <w:noWrap/>
            <w:vAlign w:val="center"/>
            <w:hideMark/>
          </w:tcPr>
          <w:p w:rsidR="00940CBA" w:rsidRPr="00CD728B" w:rsidRDefault="00940CBA" w:rsidP="00D2376D">
            <w:pPr>
              <w:spacing w:before="100" w:beforeAutospacing="1" w:after="100" w:afterAutospacing="1" w:line="360" w:lineRule="auto"/>
              <w:contextualSpacing/>
              <w:jc w:val="center"/>
              <w:rPr>
                <w:rFonts w:ascii="Arial Narrow" w:eastAsia="Times New Roman" w:hAnsi="Arial Narrow" w:cs="Arial"/>
                <w:sz w:val="24"/>
                <w:szCs w:val="24"/>
                <w:lang w:val="es-MX" w:eastAsia="es-MX"/>
              </w:rPr>
            </w:pPr>
            <w:r w:rsidRPr="00CD728B">
              <w:rPr>
                <w:rFonts w:ascii="Arial Narrow" w:eastAsia="Times New Roman" w:hAnsi="Arial Narrow" w:cs="Arial"/>
                <w:sz w:val="24"/>
                <w:szCs w:val="24"/>
                <w:lang w:val="es-MX" w:eastAsia="es-MX"/>
              </w:rPr>
              <w:t>82.45</w:t>
            </w:r>
          </w:p>
        </w:tc>
        <w:tc>
          <w:tcPr>
            <w:tcW w:w="1114" w:type="dxa"/>
            <w:tcBorders>
              <w:top w:val="nil"/>
              <w:left w:val="nil"/>
              <w:bottom w:val="single" w:sz="8" w:space="0" w:color="auto"/>
              <w:right w:val="single" w:sz="8" w:space="0" w:color="auto"/>
            </w:tcBorders>
            <w:shd w:val="clear" w:color="auto" w:fill="auto"/>
            <w:noWrap/>
            <w:vAlign w:val="center"/>
            <w:hideMark/>
          </w:tcPr>
          <w:p w:rsidR="00940CBA" w:rsidRPr="00CD728B" w:rsidRDefault="00940CBA" w:rsidP="00D2376D">
            <w:pPr>
              <w:spacing w:before="100" w:beforeAutospacing="1" w:after="100" w:afterAutospacing="1" w:line="360" w:lineRule="auto"/>
              <w:contextualSpacing/>
              <w:jc w:val="center"/>
              <w:rPr>
                <w:rFonts w:ascii="Arial Narrow" w:eastAsia="Times New Roman" w:hAnsi="Arial Narrow" w:cs="Arial"/>
                <w:sz w:val="24"/>
                <w:szCs w:val="24"/>
                <w:lang w:val="es-MX" w:eastAsia="es-MX"/>
              </w:rPr>
            </w:pPr>
            <w:r w:rsidRPr="00CD728B">
              <w:rPr>
                <w:rFonts w:ascii="Arial Narrow" w:eastAsia="Times New Roman" w:hAnsi="Arial Narrow" w:cs="Arial"/>
                <w:sz w:val="24"/>
                <w:szCs w:val="24"/>
                <w:lang w:val="es-MX" w:eastAsia="es-MX"/>
              </w:rPr>
              <w:t>69.44</w:t>
            </w:r>
          </w:p>
        </w:tc>
      </w:tr>
      <w:tr w:rsidR="00940CBA" w:rsidRPr="00CD728B" w:rsidTr="006C722A">
        <w:trPr>
          <w:trHeight w:val="345"/>
          <w:jc w:val="center"/>
        </w:trPr>
        <w:tc>
          <w:tcPr>
            <w:tcW w:w="3745" w:type="dxa"/>
            <w:tcBorders>
              <w:top w:val="nil"/>
              <w:left w:val="single" w:sz="8" w:space="0" w:color="auto"/>
              <w:bottom w:val="single" w:sz="8" w:space="0" w:color="auto"/>
              <w:right w:val="single" w:sz="8" w:space="0" w:color="auto"/>
            </w:tcBorders>
            <w:shd w:val="clear" w:color="auto" w:fill="auto"/>
            <w:noWrap/>
            <w:vAlign w:val="center"/>
            <w:hideMark/>
          </w:tcPr>
          <w:p w:rsidR="00940CBA" w:rsidRPr="00CD728B" w:rsidRDefault="00D2376D" w:rsidP="002E7D47">
            <w:pPr>
              <w:spacing w:before="100" w:beforeAutospacing="1" w:after="100" w:afterAutospacing="1" w:line="360" w:lineRule="auto"/>
              <w:contextualSpacing/>
              <w:jc w:val="both"/>
              <w:rPr>
                <w:rFonts w:ascii="Arial Narrow" w:eastAsia="Times New Roman" w:hAnsi="Arial Narrow" w:cs="Arial"/>
                <w:sz w:val="24"/>
                <w:szCs w:val="24"/>
                <w:lang w:val="es-MX" w:eastAsia="es-MX"/>
              </w:rPr>
            </w:pPr>
            <w:r w:rsidRPr="00CD728B">
              <w:rPr>
                <w:rFonts w:ascii="Arial Narrow" w:eastAsia="Times New Roman" w:hAnsi="Arial Narrow" w:cs="Arial"/>
                <w:sz w:val="24"/>
                <w:szCs w:val="24"/>
                <w:lang w:val="es-MX" w:eastAsia="es-MX"/>
              </w:rPr>
              <w:t>Demarcación Política</w:t>
            </w:r>
            <w:r w:rsidR="00940CBA" w:rsidRPr="00CD728B">
              <w:rPr>
                <w:rFonts w:ascii="Arial Narrow" w:eastAsia="Times New Roman" w:hAnsi="Arial Narrow" w:cs="Arial"/>
                <w:sz w:val="24"/>
                <w:szCs w:val="24"/>
                <w:lang w:val="es-MX" w:eastAsia="es-MX"/>
              </w:rPr>
              <w:t xml:space="preserve"> Gustavo A. Madero</w:t>
            </w:r>
          </w:p>
        </w:tc>
        <w:tc>
          <w:tcPr>
            <w:tcW w:w="1065" w:type="dxa"/>
            <w:tcBorders>
              <w:top w:val="nil"/>
              <w:left w:val="nil"/>
              <w:bottom w:val="single" w:sz="8" w:space="0" w:color="auto"/>
              <w:right w:val="single" w:sz="8" w:space="0" w:color="auto"/>
            </w:tcBorders>
            <w:shd w:val="clear" w:color="auto" w:fill="C9C9C9" w:themeFill="accent3" w:themeFillTint="99"/>
            <w:noWrap/>
            <w:vAlign w:val="center"/>
            <w:hideMark/>
          </w:tcPr>
          <w:p w:rsidR="00940CBA" w:rsidRPr="00CD728B" w:rsidRDefault="00940CBA" w:rsidP="00D2376D">
            <w:pPr>
              <w:spacing w:before="100" w:beforeAutospacing="1" w:after="100" w:afterAutospacing="1" w:line="360" w:lineRule="auto"/>
              <w:contextualSpacing/>
              <w:jc w:val="center"/>
              <w:rPr>
                <w:rFonts w:ascii="Arial Narrow" w:eastAsia="Times New Roman" w:hAnsi="Arial Narrow" w:cs="Arial"/>
                <w:sz w:val="24"/>
                <w:szCs w:val="24"/>
                <w:lang w:val="es-MX" w:eastAsia="es-MX"/>
              </w:rPr>
            </w:pPr>
            <w:r w:rsidRPr="00CD728B">
              <w:rPr>
                <w:rFonts w:ascii="Arial Narrow" w:eastAsia="Times New Roman" w:hAnsi="Arial Narrow" w:cs="Arial"/>
                <w:sz w:val="24"/>
                <w:szCs w:val="24"/>
                <w:lang w:val="es-MX" w:eastAsia="es-MX"/>
              </w:rPr>
              <w:t>74.33</w:t>
            </w:r>
          </w:p>
        </w:tc>
        <w:tc>
          <w:tcPr>
            <w:tcW w:w="1427" w:type="dxa"/>
            <w:tcBorders>
              <w:top w:val="nil"/>
              <w:left w:val="nil"/>
              <w:bottom w:val="single" w:sz="8" w:space="0" w:color="auto"/>
              <w:right w:val="single" w:sz="8" w:space="0" w:color="auto"/>
            </w:tcBorders>
            <w:shd w:val="clear" w:color="auto" w:fill="auto"/>
            <w:noWrap/>
            <w:vAlign w:val="center"/>
            <w:hideMark/>
          </w:tcPr>
          <w:p w:rsidR="00940CBA" w:rsidRPr="00CD728B" w:rsidRDefault="00940CBA" w:rsidP="00D2376D">
            <w:pPr>
              <w:spacing w:before="100" w:beforeAutospacing="1" w:after="100" w:afterAutospacing="1" w:line="360" w:lineRule="auto"/>
              <w:contextualSpacing/>
              <w:jc w:val="center"/>
              <w:rPr>
                <w:rFonts w:ascii="Arial Narrow" w:eastAsia="Times New Roman" w:hAnsi="Arial Narrow" w:cs="Arial"/>
                <w:sz w:val="24"/>
                <w:szCs w:val="24"/>
                <w:lang w:val="es-MX" w:eastAsia="es-MX"/>
              </w:rPr>
            </w:pPr>
            <w:r w:rsidRPr="00CD728B">
              <w:rPr>
                <w:rFonts w:ascii="Arial Narrow" w:eastAsia="Times New Roman" w:hAnsi="Arial Narrow" w:cs="Arial"/>
                <w:sz w:val="24"/>
                <w:szCs w:val="24"/>
                <w:lang w:val="es-MX" w:eastAsia="es-MX"/>
              </w:rPr>
              <w:t>73.93</w:t>
            </w:r>
          </w:p>
        </w:tc>
        <w:tc>
          <w:tcPr>
            <w:tcW w:w="1114" w:type="dxa"/>
            <w:tcBorders>
              <w:top w:val="nil"/>
              <w:left w:val="nil"/>
              <w:bottom w:val="single" w:sz="8" w:space="0" w:color="auto"/>
              <w:right w:val="single" w:sz="8" w:space="0" w:color="auto"/>
            </w:tcBorders>
            <w:shd w:val="clear" w:color="auto" w:fill="auto"/>
            <w:noWrap/>
            <w:vAlign w:val="center"/>
            <w:hideMark/>
          </w:tcPr>
          <w:p w:rsidR="00940CBA" w:rsidRPr="00CD728B" w:rsidRDefault="00940CBA" w:rsidP="00D2376D">
            <w:pPr>
              <w:spacing w:before="100" w:beforeAutospacing="1" w:after="100" w:afterAutospacing="1" w:line="360" w:lineRule="auto"/>
              <w:contextualSpacing/>
              <w:jc w:val="center"/>
              <w:rPr>
                <w:rFonts w:ascii="Arial Narrow" w:eastAsia="Times New Roman" w:hAnsi="Arial Narrow" w:cs="Arial"/>
                <w:sz w:val="24"/>
                <w:szCs w:val="24"/>
                <w:lang w:val="es-MX" w:eastAsia="es-MX"/>
              </w:rPr>
            </w:pPr>
            <w:r w:rsidRPr="00CD728B">
              <w:rPr>
                <w:rFonts w:ascii="Arial Narrow" w:eastAsia="Times New Roman" w:hAnsi="Arial Narrow" w:cs="Arial"/>
                <w:sz w:val="24"/>
                <w:szCs w:val="24"/>
                <w:lang w:val="es-MX" w:eastAsia="es-MX"/>
              </w:rPr>
              <w:t>74.73</w:t>
            </w:r>
          </w:p>
        </w:tc>
      </w:tr>
      <w:tr w:rsidR="00940CBA" w:rsidRPr="00CD728B" w:rsidTr="006C722A">
        <w:trPr>
          <w:trHeight w:val="345"/>
          <w:jc w:val="center"/>
        </w:trPr>
        <w:tc>
          <w:tcPr>
            <w:tcW w:w="3745" w:type="dxa"/>
            <w:tcBorders>
              <w:top w:val="nil"/>
              <w:left w:val="single" w:sz="8" w:space="0" w:color="auto"/>
              <w:bottom w:val="single" w:sz="8" w:space="0" w:color="auto"/>
              <w:right w:val="single" w:sz="8" w:space="0" w:color="auto"/>
            </w:tcBorders>
            <w:shd w:val="clear" w:color="auto" w:fill="auto"/>
            <w:noWrap/>
            <w:vAlign w:val="center"/>
            <w:hideMark/>
          </w:tcPr>
          <w:p w:rsidR="00940CBA" w:rsidRPr="00CD728B" w:rsidRDefault="00D2376D" w:rsidP="002E7D47">
            <w:pPr>
              <w:spacing w:before="100" w:beforeAutospacing="1" w:after="100" w:afterAutospacing="1" w:line="360" w:lineRule="auto"/>
              <w:contextualSpacing/>
              <w:jc w:val="both"/>
              <w:rPr>
                <w:rFonts w:ascii="Arial Narrow" w:eastAsia="Times New Roman" w:hAnsi="Arial Narrow" w:cs="Arial"/>
                <w:sz w:val="24"/>
                <w:szCs w:val="24"/>
                <w:lang w:val="es-MX" w:eastAsia="es-MX"/>
              </w:rPr>
            </w:pPr>
            <w:r w:rsidRPr="00CD728B">
              <w:rPr>
                <w:rFonts w:ascii="Arial Narrow" w:eastAsia="Times New Roman" w:hAnsi="Arial Narrow" w:cs="Arial"/>
                <w:sz w:val="24"/>
                <w:szCs w:val="24"/>
                <w:lang w:val="es-MX" w:eastAsia="es-MX"/>
              </w:rPr>
              <w:t>Demarcación Política</w:t>
            </w:r>
            <w:r w:rsidR="00940CBA" w:rsidRPr="00CD728B">
              <w:rPr>
                <w:rFonts w:ascii="Arial Narrow" w:eastAsia="Times New Roman" w:hAnsi="Arial Narrow" w:cs="Arial"/>
                <w:sz w:val="24"/>
                <w:szCs w:val="24"/>
                <w:lang w:val="es-MX" w:eastAsia="es-MX"/>
              </w:rPr>
              <w:t xml:space="preserve"> Milpa Alta</w:t>
            </w:r>
          </w:p>
        </w:tc>
        <w:tc>
          <w:tcPr>
            <w:tcW w:w="1065" w:type="dxa"/>
            <w:tcBorders>
              <w:top w:val="nil"/>
              <w:left w:val="nil"/>
              <w:bottom w:val="single" w:sz="8" w:space="0" w:color="auto"/>
              <w:right w:val="single" w:sz="8" w:space="0" w:color="auto"/>
            </w:tcBorders>
            <w:shd w:val="clear" w:color="auto" w:fill="C9C9C9" w:themeFill="accent3" w:themeFillTint="99"/>
            <w:noWrap/>
            <w:vAlign w:val="center"/>
            <w:hideMark/>
          </w:tcPr>
          <w:p w:rsidR="00940CBA" w:rsidRPr="00CD728B" w:rsidRDefault="00940CBA" w:rsidP="00D2376D">
            <w:pPr>
              <w:spacing w:before="100" w:beforeAutospacing="1" w:after="100" w:afterAutospacing="1" w:line="360" w:lineRule="auto"/>
              <w:contextualSpacing/>
              <w:jc w:val="center"/>
              <w:rPr>
                <w:rFonts w:ascii="Arial Narrow" w:eastAsia="Times New Roman" w:hAnsi="Arial Narrow" w:cs="Arial"/>
                <w:sz w:val="24"/>
                <w:szCs w:val="24"/>
                <w:lang w:val="es-MX" w:eastAsia="es-MX"/>
              </w:rPr>
            </w:pPr>
            <w:r w:rsidRPr="00CD728B">
              <w:rPr>
                <w:rFonts w:ascii="Arial Narrow" w:eastAsia="Times New Roman" w:hAnsi="Arial Narrow" w:cs="Arial"/>
                <w:sz w:val="24"/>
                <w:szCs w:val="24"/>
                <w:lang w:val="es-MX" w:eastAsia="es-MX"/>
              </w:rPr>
              <w:t>72.9</w:t>
            </w:r>
          </w:p>
        </w:tc>
        <w:tc>
          <w:tcPr>
            <w:tcW w:w="1427" w:type="dxa"/>
            <w:tcBorders>
              <w:top w:val="nil"/>
              <w:left w:val="nil"/>
              <w:bottom w:val="single" w:sz="8" w:space="0" w:color="auto"/>
              <w:right w:val="single" w:sz="8" w:space="0" w:color="auto"/>
            </w:tcBorders>
            <w:shd w:val="clear" w:color="auto" w:fill="auto"/>
            <w:noWrap/>
            <w:vAlign w:val="center"/>
            <w:hideMark/>
          </w:tcPr>
          <w:p w:rsidR="00940CBA" w:rsidRPr="00CD728B" w:rsidRDefault="00940CBA" w:rsidP="00D2376D">
            <w:pPr>
              <w:spacing w:before="100" w:beforeAutospacing="1" w:after="100" w:afterAutospacing="1" w:line="360" w:lineRule="auto"/>
              <w:contextualSpacing/>
              <w:jc w:val="center"/>
              <w:rPr>
                <w:rFonts w:ascii="Arial Narrow" w:eastAsia="Times New Roman" w:hAnsi="Arial Narrow" w:cs="Arial"/>
                <w:sz w:val="24"/>
                <w:szCs w:val="24"/>
                <w:lang w:val="es-MX" w:eastAsia="es-MX"/>
              </w:rPr>
            </w:pPr>
            <w:r w:rsidRPr="00CD728B">
              <w:rPr>
                <w:rFonts w:ascii="Arial Narrow" w:eastAsia="Times New Roman" w:hAnsi="Arial Narrow" w:cs="Arial"/>
                <w:sz w:val="24"/>
                <w:szCs w:val="24"/>
                <w:lang w:val="es-MX" w:eastAsia="es-MX"/>
              </w:rPr>
              <w:t>74.06</w:t>
            </w:r>
          </w:p>
        </w:tc>
        <w:tc>
          <w:tcPr>
            <w:tcW w:w="1114" w:type="dxa"/>
            <w:tcBorders>
              <w:top w:val="nil"/>
              <w:left w:val="nil"/>
              <w:bottom w:val="single" w:sz="8" w:space="0" w:color="auto"/>
              <w:right w:val="single" w:sz="8" w:space="0" w:color="auto"/>
            </w:tcBorders>
            <w:shd w:val="clear" w:color="auto" w:fill="auto"/>
            <w:noWrap/>
            <w:vAlign w:val="center"/>
            <w:hideMark/>
          </w:tcPr>
          <w:p w:rsidR="00940CBA" w:rsidRPr="00CD728B" w:rsidRDefault="00940CBA" w:rsidP="00D2376D">
            <w:pPr>
              <w:spacing w:before="100" w:beforeAutospacing="1" w:after="100" w:afterAutospacing="1" w:line="360" w:lineRule="auto"/>
              <w:contextualSpacing/>
              <w:jc w:val="center"/>
              <w:rPr>
                <w:rFonts w:ascii="Arial Narrow" w:eastAsia="Times New Roman" w:hAnsi="Arial Narrow" w:cs="Arial"/>
                <w:sz w:val="24"/>
                <w:szCs w:val="24"/>
                <w:lang w:val="es-MX" w:eastAsia="es-MX"/>
              </w:rPr>
            </w:pPr>
            <w:r w:rsidRPr="00CD728B">
              <w:rPr>
                <w:rFonts w:ascii="Arial Narrow" w:eastAsia="Times New Roman" w:hAnsi="Arial Narrow" w:cs="Arial"/>
                <w:sz w:val="24"/>
                <w:szCs w:val="24"/>
                <w:lang w:val="es-MX" w:eastAsia="es-MX"/>
              </w:rPr>
              <w:t>71.73</w:t>
            </w:r>
          </w:p>
        </w:tc>
      </w:tr>
      <w:tr w:rsidR="00940CBA" w:rsidRPr="00CD728B" w:rsidTr="006C722A">
        <w:trPr>
          <w:trHeight w:val="345"/>
          <w:jc w:val="center"/>
        </w:trPr>
        <w:tc>
          <w:tcPr>
            <w:tcW w:w="3745" w:type="dxa"/>
            <w:tcBorders>
              <w:top w:val="nil"/>
              <w:left w:val="single" w:sz="8" w:space="0" w:color="auto"/>
              <w:bottom w:val="single" w:sz="8" w:space="0" w:color="auto"/>
              <w:right w:val="single" w:sz="8" w:space="0" w:color="auto"/>
            </w:tcBorders>
            <w:shd w:val="clear" w:color="auto" w:fill="auto"/>
            <w:noWrap/>
            <w:vAlign w:val="center"/>
            <w:hideMark/>
          </w:tcPr>
          <w:p w:rsidR="00940CBA" w:rsidRPr="00CD728B" w:rsidRDefault="00D2376D" w:rsidP="002E7D47">
            <w:pPr>
              <w:spacing w:before="100" w:beforeAutospacing="1" w:after="100" w:afterAutospacing="1" w:line="360" w:lineRule="auto"/>
              <w:contextualSpacing/>
              <w:jc w:val="both"/>
              <w:rPr>
                <w:rFonts w:ascii="Arial Narrow" w:eastAsia="Times New Roman" w:hAnsi="Arial Narrow" w:cs="Arial"/>
                <w:sz w:val="24"/>
                <w:szCs w:val="24"/>
                <w:lang w:val="es-MX" w:eastAsia="es-MX"/>
              </w:rPr>
            </w:pPr>
            <w:r w:rsidRPr="00CD728B">
              <w:rPr>
                <w:rFonts w:ascii="Arial Narrow" w:eastAsia="Times New Roman" w:hAnsi="Arial Narrow" w:cs="Arial"/>
                <w:sz w:val="24"/>
                <w:szCs w:val="24"/>
                <w:lang w:val="es-MX" w:eastAsia="es-MX"/>
              </w:rPr>
              <w:t>Demarcación Política</w:t>
            </w:r>
            <w:r w:rsidR="00940CBA" w:rsidRPr="00CD728B">
              <w:rPr>
                <w:rFonts w:ascii="Arial Narrow" w:eastAsia="Times New Roman" w:hAnsi="Arial Narrow" w:cs="Arial"/>
                <w:sz w:val="24"/>
                <w:szCs w:val="24"/>
                <w:lang w:val="es-MX" w:eastAsia="es-MX"/>
              </w:rPr>
              <w:t xml:space="preserve"> Tlalpan</w:t>
            </w:r>
          </w:p>
        </w:tc>
        <w:tc>
          <w:tcPr>
            <w:tcW w:w="1065" w:type="dxa"/>
            <w:tcBorders>
              <w:top w:val="nil"/>
              <w:left w:val="nil"/>
              <w:bottom w:val="single" w:sz="8" w:space="0" w:color="auto"/>
              <w:right w:val="single" w:sz="8" w:space="0" w:color="auto"/>
            </w:tcBorders>
            <w:shd w:val="clear" w:color="auto" w:fill="C9C9C9" w:themeFill="accent3" w:themeFillTint="99"/>
            <w:noWrap/>
            <w:vAlign w:val="center"/>
            <w:hideMark/>
          </w:tcPr>
          <w:p w:rsidR="00940CBA" w:rsidRPr="00CD728B" w:rsidRDefault="00940CBA" w:rsidP="00D2376D">
            <w:pPr>
              <w:spacing w:before="100" w:beforeAutospacing="1" w:after="100" w:afterAutospacing="1" w:line="360" w:lineRule="auto"/>
              <w:contextualSpacing/>
              <w:jc w:val="center"/>
              <w:rPr>
                <w:rFonts w:ascii="Arial Narrow" w:eastAsia="Times New Roman" w:hAnsi="Arial Narrow" w:cs="Arial"/>
                <w:sz w:val="24"/>
                <w:szCs w:val="24"/>
                <w:lang w:val="es-MX" w:eastAsia="es-MX"/>
              </w:rPr>
            </w:pPr>
            <w:r w:rsidRPr="00CD728B">
              <w:rPr>
                <w:rFonts w:ascii="Arial Narrow" w:eastAsia="Times New Roman" w:hAnsi="Arial Narrow" w:cs="Arial"/>
                <w:sz w:val="24"/>
                <w:szCs w:val="24"/>
                <w:lang w:val="es-MX" w:eastAsia="es-MX"/>
              </w:rPr>
              <w:t>66.92</w:t>
            </w:r>
          </w:p>
        </w:tc>
        <w:tc>
          <w:tcPr>
            <w:tcW w:w="1427" w:type="dxa"/>
            <w:tcBorders>
              <w:top w:val="nil"/>
              <w:left w:val="nil"/>
              <w:bottom w:val="single" w:sz="8" w:space="0" w:color="auto"/>
              <w:right w:val="single" w:sz="8" w:space="0" w:color="auto"/>
            </w:tcBorders>
            <w:shd w:val="clear" w:color="auto" w:fill="auto"/>
            <w:noWrap/>
            <w:vAlign w:val="center"/>
            <w:hideMark/>
          </w:tcPr>
          <w:p w:rsidR="00940CBA" w:rsidRPr="00CD728B" w:rsidRDefault="00940CBA" w:rsidP="00D2376D">
            <w:pPr>
              <w:spacing w:before="100" w:beforeAutospacing="1" w:after="100" w:afterAutospacing="1" w:line="360" w:lineRule="auto"/>
              <w:contextualSpacing/>
              <w:jc w:val="center"/>
              <w:rPr>
                <w:rFonts w:ascii="Arial Narrow" w:eastAsia="Times New Roman" w:hAnsi="Arial Narrow" w:cs="Arial"/>
                <w:sz w:val="24"/>
                <w:szCs w:val="24"/>
                <w:lang w:val="es-MX" w:eastAsia="es-MX"/>
              </w:rPr>
            </w:pPr>
            <w:r w:rsidRPr="00CD728B">
              <w:rPr>
                <w:rFonts w:ascii="Arial Narrow" w:eastAsia="Times New Roman" w:hAnsi="Arial Narrow" w:cs="Arial"/>
                <w:sz w:val="24"/>
                <w:szCs w:val="24"/>
                <w:lang w:val="es-MX" w:eastAsia="es-MX"/>
              </w:rPr>
              <w:t>78.53</w:t>
            </w:r>
          </w:p>
        </w:tc>
        <w:tc>
          <w:tcPr>
            <w:tcW w:w="1114" w:type="dxa"/>
            <w:tcBorders>
              <w:top w:val="nil"/>
              <w:left w:val="nil"/>
              <w:bottom w:val="single" w:sz="8" w:space="0" w:color="auto"/>
              <w:right w:val="single" w:sz="8" w:space="0" w:color="auto"/>
            </w:tcBorders>
            <w:shd w:val="clear" w:color="auto" w:fill="auto"/>
            <w:noWrap/>
            <w:vAlign w:val="center"/>
            <w:hideMark/>
          </w:tcPr>
          <w:p w:rsidR="00940CBA" w:rsidRPr="00CD728B" w:rsidRDefault="00940CBA" w:rsidP="00D2376D">
            <w:pPr>
              <w:spacing w:before="100" w:beforeAutospacing="1" w:after="100" w:afterAutospacing="1" w:line="360" w:lineRule="auto"/>
              <w:contextualSpacing/>
              <w:jc w:val="center"/>
              <w:rPr>
                <w:rFonts w:ascii="Arial Narrow" w:eastAsia="Times New Roman" w:hAnsi="Arial Narrow" w:cs="Arial"/>
                <w:sz w:val="24"/>
                <w:szCs w:val="24"/>
                <w:lang w:val="es-MX" w:eastAsia="es-MX"/>
              </w:rPr>
            </w:pPr>
            <w:r w:rsidRPr="00CD728B">
              <w:rPr>
                <w:rFonts w:ascii="Arial Narrow" w:eastAsia="Times New Roman" w:hAnsi="Arial Narrow" w:cs="Arial"/>
                <w:sz w:val="24"/>
                <w:szCs w:val="24"/>
                <w:lang w:val="es-MX" w:eastAsia="es-MX"/>
              </w:rPr>
              <w:t>55.32</w:t>
            </w:r>
          </w:p>
        </w:tc>
      </w:tr>
      <w:tr w:rsidR="00940CBA" w:rsidRPr="00CD728B" w:rsidTr="006C722A">
        <w:trPr>
          <w:trHeight w:val="345"/>
          <w:jc w:val="center"/>
        </w:trPr>
        <w:tc>
          <w:tcPr>
            <w:tcW w:w="3745" w:type="dxa"/>
            <w:tcBorders>
              <w:top w:val="nil"/>
              <w:left w:val="single" w:sz="8" w:space="0" w:color="auto"/>
              <w:bottom w:val="single" w:sz="8" w:space="0" w:color="auto"/>
              <w:right w:val="single" w:sz="8" w:space="0" w:color="auto"/>
            </w:tcBorders>
            <w:shd w:val="clear" w:color="auto" w:fill="auto"/>
            <w:noWrap/>
            <w:vAlign w:val="center"/>
            <w:hideMark/>
          </w:tcPr>
          <w:p w:rsidR="00940CBA" w:rsidRPr="00CD728B" w:rsidRDefault="00D2376D" w:rsidP="002E7D47">
            <w:pPr>
              <w:spacing w:before="100" w:beforeAutospacing="1" w:after="100" w:afterAutospacing="1" w:line="360" w:lineRule="auto"/>
              <w:contextualSpacing/>
              <w:jc w:val="both"/>
              <w:rPr>
                <w:rFonts w:ascii="Arial Narrow" w:eastAsia="Times New Roman" w:hAnsi="Arial Narrow" w:cs="Arial"/>
                <w:sz w:val="24"/>
                <w:szCs w:val="24"/>
                <w:lang w:val="es-MX" w:eastAsia="es-MX"/>
              </w:rPr>
            </w:pPr>
            <w:r w:rsidRPr="00CD728B">
              <w:rPr>
                <w:rFonts w:ascii="Arial Narrow" w:eastAsia="Times New Roman" w:hAnsi="Arial Narrow" w:cs="Arial"/>
                <w:sz w:val="24"/>
                <w:szCs w:val="24"/>
                <w:lang w:val="es-MX" w:eastAsia="es-MX"/>
              </w:rPr>
              <w:lastRenderedPageBreak/>
              <w:t>Demarcación Política</w:t>
            </w:r>
            <w:r w:rsidR="00940CBA" w:rsidRPr="00CD728B">
              <w:rPr>
                <w:rFonts w:ascii="Arial Narrow" w:eastAsia="Times New Roman" w:hAnsi="Arial Narrow" w:cs="Arial"/>
                <w:sz w:val="24"/>
                <w:szCs w:val="24"/>
                <w:lang w:val="es-MX" w:eastAsia="es-MX"/>
              </w:rPr>
              <w:t xml:space="preserve"> Coyoacán</w:t>
            </w:r>
          </w:p>
        </w:tc>
        <w:tc>
          <w:tcPr>
            <w:tcW w:w="1065" w:type="dxa"/>
            <w:tcBorders>
              <w:top w:val="nil"/>
              <w:left w:val="nil"/>
              <w:bottom w:val="single" w:sz="8" w:space="0" w:color="auto"/>
              <w:right w:val="single" w:sz="8" w:space="0" w:color="auto"/>
            </w:tcBorders>
            <w:shd w:val="clear" w:color="auto" w:fill="C9C9C9" w:themeFill="accent3" w:themeFillTint="99"/>
            <w:noWrap/>
            <w:vAlign w:val="center"/>
            <w:hideMark/>
          </w:tcPr>
          <w:p w:rsidR="00940CBA" w:rsidRPr="00CD728B" w:rsidRDefault="00940CBA" w:rsidP="00D2376D">
            <w:pPr>
              <w:spacing w:before="100" w:beforeAutospacing="1" w:after="100" w:afterAutospacing="1" w:line="360" w:lineRule="auto"/>
              <w:contextualSpacing/>
              <w:jc w:val="center"/>
              <w:rPr>
                <w:rFonts w:ascii="Arial Narrow" w:eastAsia="Times New Roman" w:hAnsi="Arial Narrow" w:cs="Arial"/>
                <w:sz w:val="24"/>
                <w:szCs w:val="24"/>
                <w:lang w:val="es-MX" w:eastAsia="es-MX"/>
              </w:rPr>
            </w:pPr>
            <w:r w:rsidRPr="00CD728B">
              <w:rPr>
                <w:rFonts w:ascii="Arial Narrow" w:eastAsia="Times New Roman" w:hAnsi="Arial Narrow" w:cs="Arial"/>
                <w:sz w:val="24"/>
                <w:szCs w:val="24"/>
                <w:lang w:val="es-MX" w:eastAsia="es-MX"/>
              </w:rPr>
              <w:t>57.77</w:t>
            </w:r>
          </w:p>
        </w:tc>
        <w:tc>
          <w:tcPr>
            <w:tcW w:w="1427" w:type="dxa"/>
            <w:tcBorders>
              <w:top w:val="nil"/>
              <w:left w:val="nil"/>
              <w:bottom w:val="single" w:sz="8" w:space="0" w:color="auto"/>
              <w:right w:val="single" w:sz="8" w:space="0" w:color="auto"/>
            </w:tcBorders>
            <w:shd w:val="clear" w:color="auto" w:fill="auto"/>
            <w:noWrap/>
            <w:vAlign w:val="center"/>
            <w:hideMark/>
          </w:tcPr>
          <w:p w:rsidR="00940CBA" w:rsidRPr="00CD728B" w:rsidRDefault="00940CBA" w:rsidP="00D2376D">
            <w:pPr>
              <w:spacing w:before="100" w:beforeAutospacing="1" w:after="100" w:afterAutospacing="1" w:line="360" w:lineRule="auto"/>
              <w:contextualSpacing/>
              <w:jc w:val="center"/>
              <w:rPr>
                <w:rFonts w:ascii="Arial Narrow" w:eastAsia="Times New Roman" w:hAnsi="Arial Narrow" w:cs="Arial"/>
                <w:sz w:val="24"/>
                <w:szCs w:val="24"/>
                <w:lang w:val="es-MX" w:eastAsia="es-MX"/>
              </w:rPr>
            </w:pPr>
            <w:r w:rsidRPr="00CD728B">
              <w:rPr>
                <w:rFonts w:ascii="Arial Narrow" w:eastAsia="Times New Roman" w:hAnsi="Arial Narrow" w:cs="Arial"/>
                <w:sz w:val="24"/>
                <w:szCs w:val="24"/>
                <w:lang w:val="es-MX" w:eastAsia="es-MX"/>
              </w:rPr>
              <w:t>47.39</w:t>
            </w:r>
          </w:p>
        </w:tc>
        <w:tc>
          <w:tcPr>
            <w:tcW w:w="1114" w:type="dxa"/>
            <w:tcBorders>
              <w:top w:val="nil"/>
              <w:left w:val="nil"/>
              <w:bottom w:val="single" w:sz="8" w:space="0" w:color="auto"/>
              <w:right w:val="single" w:sz="8" w:space="0" w:color="auto"/>
            </w:tcBorders>
            <w:shd w:val="clear" w:color="auto" w:fill="auto"/>
            <w:noWrap/>
            <w:vAlign w:val="center"/>
            <w:hideMark/>
          </w:tcPr>
          <w:p w:rsidR="00940CBA" w:rsidRPr="00CD728B" w:rsidRDefault="00940CBA" w:rsidP="00D2376D">
            <w:pPr>
              <w:spacing w:before="100" w:beforeAutospacing="1" w:after="100" w:afterAutospacing="1" w:line="360" w:lineRule="auto"/>
              <w:contextualSpacing/>
              <w:jc w:val="center"/>
              <w:rPr>
                <w:rFonts w:ascii="Arial Narrow" w:eastAsia="Times New Roman" w:hAnsi="Arial Narrow" w:cs="Arial"/>
                <w:sz w:val="24"/>
                <w:szCs w:val="24"/>
                <w:lang w:val="es-MX" w:eastAsia="es-MX"/>
              </w:rPr>
            </w:pPr>
            <w:r w:rsidRPr="00CD728B">
              <w:rPr>
                <w:rFonts w:ascii="Arial Narrow" w:eastAsia="Times New Roman" w:hAnsi="Arial Narrow" w:cs="Arial"/>
                <w:sz w:val="24"/>
                <w:szCs w:val="24"/>
                <w:lang w:val="es-MX" w:eastAsia="es-MX"/>
              </w:rPr>
              <w:t>68.15</w:t>
            </w:r>
          </w:p>
        </w:tc>
      </w:tr>
      <w:tr w:rsidR="00940CBA" w:rsidRPr="00CD728B" w:rsidTr="006C722A">
        <w:trPr>
          <w:trHeight w:val="345"/>
          <w:jc w:val="center"/>
        </w:trPr>
        <w:tc>
          <w:tcPr>
            <w:tcW w:w="3745" w:type="dxa"/>
            <w:tcBorders>
              <w:top w:val="nil"/>
              <w:left w:val="single" w:sz="8" w:space="0" w:color="auto"/>
              <w:bottom w:val="single" w:sz="8" w:space="0" w:color="auto"/>
              <w:right w:val="single" w:sz="8" w:space="0" w:color="auto"/>
            </w:tcBorders>
            <w:shd w:val="clear" w:color="auto" w:fill="auto"/>
            <w:noWrap/>
            <w:vAlign w:val="center"/>
            <w:hideMark/>
          </w:tcPr>
          <w:p w:rsidR="00940CBA" w:rsidRPr="00CD728B" w:rsidRDefault="00D2376D" w:rsidP="002E7D47">
            <w:pPr>
              <w:spacing w:before="100" w:beforeAutospacing="1" w:after="100" w:afterAutospacing="1" w:line="360" w:lineRule="auto"/>
              <w:contextualSpacing/>
              <w:jc w:val="both"/>
              <w:rPr>
                <w:rFonts w:ascii="Arial Narrow" w:eastAsia="Times New Roman" w:hAnsi="Arial Narrow" w:cs="Arial"/>
                <w:sz w:val="24"/>
                <w:szCs w:val="24"/>
                <w:lang w:val="es-MX" w:eastAsia="es-MX"/>
              </w:rPr>
            </w:pPr>
            <w:r w:rsidRPr="00CD728B">
              <w:rPr>
                <w:rFonts w:ascii="Arial Narrow" w:eastAsia="Times New Roman" w:hAnsi="Arial Narrow" w:cs="Arial"/>
                <w:sz w:val="24"/>
                <w:szCs w:val="24"/>
                <w:lang w:val="es-MX" w:eastAsia="es-MX"/>
              </w:rPr>
              <w:t>Demarcación Política</w:t>
            </w:r>
            <w:r w:rsidR="00940CBA" w:rsidRPr="00CD728B">
              <w:rPr>
                <w:rFonts w:ascii="Arial Narrow" w:eastAsia="Times New Roman" w:hAnsi="Arial Narrow" w:cs="Arial"/>
                <w:sz w:val="24"/>
                <w:szCs w:val="24"/>
                <w:lang w:val="es-MX" w:eastAsia="es-MX"/>
              </w:rPr>
              <w:t xml:space="preserve"> Miguel Hidalgo</w:t>
            </w:r>
          </w:p>
        </w:tc>
        <w:tc>
          <w:tcPr>
            <w:tcW w:w="1065" w:type="dxa"/>
            <w:tcBorders>
              <w:top w:val="nil"/>
              <w:left w:val="nil"/>
              <w:bottom w:val="single" w:sz="8" w:space="0" w:color="auto"/>
              <w:right w:val="single" w:sz="8" w:space="0" w:color="auto"/>
            </w:tcBorders>
            <w:shd w:val="clear" w:color="auto" w:fill="C9C9C9" w:themeFill="accent3" w:themeFillTint="99"/>
            <w:noWrap/>
            <w:vAlign w:val="center"/>
            <w:hideMark/>
          </w:tcPr>
          <w:p w:rsidR="00940CBA" w:rsidRPr="00CD728B" w:rsidRDefault="00940CBA" w:rsidP="00D2376D">
            <w:pPr>
              <w:spacing w:before="100" w:beforeAutospacing="1" w:after="100" w:afterAutospacing="1" w:line="360" w:lineRule="auto"/>
              <w:contextualSpacing/>
              <w:jc w:val="center"/>
              <w:rPr>
                <w:rFonts w:ascii="Arial Narrow" w:eastAsia="Times New Roman" w:hAnsi="Arial Narrow" w:cs="Arial"/>
                <w:sz w:val="24"/>
                <w:szCs w:val="24"/>
                <w:lang w:val="es-MX" w:eastAsia="es-MX"/>
              </w:rPr>
            </w:pPr>
            <w:r w:rsidRPr="00CD728B">
              <w:rPr>
                <w:rFonts w:ascii="Arial Narrow" w:eastAsia="Times New Roman" w:hAnsi="Arial Narrow" w:cs="Arial"/>
                <w:sz w:val="24"/>
                <w:szCs w:val="24"/>
                <w:lang w:val="es-MX" w:eastAsia="es-MX"/>
              </w:rPr>
              <w:t>57.04</w:t>
            </w:r>
          </w:p>
        </w:tc>
        <w:tc>
          <w:tcPr>
            <w:tcW w:w="1427" w:type="dxa"/>
            <w:tcBorders>
              <w:top w:val="nil"/>
              <w:left w:val="nil"/>
              <w:bottom w:val="single" w:sz="8" w:space="0" w:color="auto"/>
              <w:right w:val="single" w:sz="8" w:space="0" w:color="auto"/>
            </w:tcBorders>
            <w:shd w:val="clear" w:color="auto" w:fill="auto"/>
            <w:noWrap/>
            <w:vAlign w:val="center"/>
            <w:hideMark/>
          </w:tcPr>
          <w:p w:rsidR="00940CBA" w:rsidRPr="00CD728B" w:rsidRDefault="00940CBA" w:rsidP="00D2376D">
            <w:pPr>
              <w:spacing w:before="100" w:beforeAutospacing="1" w:after="100" w:afterAutospacing="1" w:line="360" w:lineRule="auto"/>
              <w:contextualSpacing/>
              <w:jc w:val="center"/>
              <w:rPr>
                <w:rFonts w:ascii="Arial Narrow" w:eastAsia="Times New Roman" w:hAnsi="Arial Narrow" w:cs="Arial"/>
                <w:sz w:val="24"/>
                <w:szCs w:val="24"/>
                <w:lang w:val="es-MX" w:eastAsia="es-MX"/>
              </w:rPr>
            </w:pPr>
            <w:r w:rsidRPr="00CD728B">
              <w:rPr>
                <w:rFonts w:ascii="Arial Narrow" w:eastAsia="Times New Roman" w:hAnsi="Arial Narrow" w:cs="Arial"/>
                <w:sz w:val="24"/>
                <w:szCs w:val="24"/>
                <w:lang w:val="es-MX" w:eastAsia="es-MX"/>
              </w:rPr>
              <w:t>50.7</w:t>
            </w:r>
          </w:p>
        </w:tc>
        <w:tc>
          <w:tcPr>
            <w:tcW w:w="1114" w:type="dxa"/>
            <w:tcBorders>
              <w:top w:val="nil"/>
              <w:left w:val="nil"/>
              <w:bottom w:val="single" w:sz="8" w:space="0" w:color="auto"/>
              <w:right w:val="single" w:sz="8" w:space="0" w:color="auto"/>
            </w:tcBorders>
            <w:shd w:val="clear" w:color="auto" w:fill="auto"/>
            <w:noWrap/>
            <w:vAlign w:val="center"/>
            <w:hideMark/>
          </w:tcPr>
          <w:p w:rsidR="00940CBA" w:rsidRPr="00CD728B" w:rsidRDefault="00940CBA" w:rsidP="00D2376D">
            <w:pPr>
              <w:spacing w:before="100" w:beforeAutospacing="1" w:after="100" w:afterAutospacing="1" w:line="360" w:lineRule="auto"/>
              <w:contextualSpacing/>
              <w:jc w:val="center"/>
              <w:rPr>
                <w:rFonts w:ascii="Arial Narrow" w:eastAsia="Times New Roman" w:hAnsi="Arial Narrow" w:cs="Arial"/>
                <w:sz w:val="24"/>
                <w:szCs w:val="24"/>
                <w:lang w:val="es-MX" w:eastAsia="es-MX"/>
              </w:rPr>
            </w:pPr>
            <w:r w:rsidRPr="00CD728B">
              <w:rPr>
                <w:rFonts w:ascii="Arial Narrow" w:eastAsia="Times New Roman" w:hAnsi="Arial Narrow" w:cs="Arial"/>
                <w:sz w:val="24"/>
                <w:szCs w:val="24"/>
                <w:lang w:val="es-MX" w:eastAsia="es-MX"/>
              </w:rPr>
              <w:t>63.38</w:t>
            </w:r>
          </w:p>
        </w:tc>
      </w:tr>
      <w:tr w:rsidR="00940CBA" w:rsidRPr="00CD728B" w:rsidTr="006C722A">
        <w:trPr>
          <w:trHeight w:val="345"/>
          <w:jc w:val="center"/>
        </w:trPr>
        <w:tc>
          <w:tcPr>
            <w:tcW w:w="3745" w:type="dxa"/>
            <w:tcBorders>
              <w:top w:val="nil"/>
              <w:left w:val="single" w:sz="8" w:space="0" w:color="auto"/>
              <w:bottom w:val="single" w:sz="8" w:space="0" w:color="auto"/>
              <w:right w:val="single" w:sz="8" w:space="0" w:color="auto"/>
            </w:tcBorders>
            <w:shd w:val="clear" w:color="auto" w:fill="auto"/>
            <w:noWrap/>
            <w:vAlign w:val="center"/>
            <w:hideMark/>
          </w:tcPr>
          <w:p w:rsidR="00940CBA" w:rsidRPr="00CD728B" w:rsidRDefault="00D2376D" w:rsidP="002E7D47">
            <w:pPr>
              <w:spacing w:before="100" w:beforeAutospacing="1" w:after="100" w:afterAutospacing="1" w:line="360" w:lineRule="auto"/>
              <w:contextualSpacing/>
              <w:jc w:val="both"/>
              <w:rPr>
                <w:rFonts w:ascii="Arial Narrow" w:eastAsia="Times New Roman" w:hAnsi="Arial Narrow" w:cs="Arial"/>
                <w:sz w:val="24"/>
                <w:szCs w:val="24"/>
                <w:lang w:val="es-MX" w:eastAsia="es-MX"/>
              </w:rPr>
            </w:pPr>
            <w:r w:rsidRPr="00CD728B">
              <w:rPr>
                <w:rFonts w:ascii="Arial Narrow" w:eastAsia="Times New Roman" w:hAnsi="Arial Narrow" w:cs="Arial"/>
                <w:sz w:val="24"/>
                <w:szCs w:val="24"/>
                <w:lang w:val="es-MX" w:eastAsia="es-MX"/>
              </w:rPr>
              <w:t>Demarcación Política</w:t>
            </w:r>
            <w:r w:rsidR="00940CBA" w:rsidRPr="00CD728B">
              <w:rPr>
                <w:rFonts w:ascii="Arial Narrow" w:eastAsia="Times New Roman" w:hAnsi="Arial Narrow" w:cs="Arial"/>
                <w:sz w:val="24"/>
                <w:szCs w:val="24"/>
                <w:lang w:val="es-MX" w:eastAsia="es-MX"/>
              </w:rPr>
              <w:t xml:space="preserve"> Azcapotzalco</w:t>
            </w:r>
          </w:p>
        </w:tc>
        <w:tc>
          <w:tcPr>
            <w:tcW w:w="1065" w:type="dxa"/>
            <w:tcBorders>
              <w:top w:val="nil"/>
              <w:left w:val="nil"/>
              <w:bottom w:val="single" w:sz="8" w:space="0" w:color="auto"/>
              <w:right w:val="single" w:sz="8" w:space="0" w:color="auto"/>
            </w:tcBorders>
            <w:shd w:val="clear" w:color="auto" w:fill="C9C9C9" w:themeFill="accent3" w:themeFillTint="99"/>
            <w:noWrap/>
            <w:vAlign w:val="center"/>
            <w:hideMark/>
          </w:tcPr>
          <w:p w:rsidR="00940CBA" w:rsidRPr="00CD728B" w:rsidRDefault="00940CBA" w:rsidP="00D2376D">
            <w:pPr>
              <w:spacing w:before="100" w:beforeAutospacing="1" w:after="100" w:afterAutospacing="1" w:line="360" w:lineRule="auto"/>
              <w:contextualSpacing/>
              <w:jc w:val="center"/>
              <w:rPr>
                <w:rFonts w:ascii="Arial Narrow" w:eastAsia="Times New Roman" w:hAnsi="Arial Narrow" w:cs="Arial"/>
                <w:sz w:val="24"/>
                <w:szCs w:val="24"/>
                <w:lang w:val="es-MX" w:eastAsia="es-MX"/>
              </w:rPr>
            </w:pPr>
            <w:r w:rsidRPr="00CD728B">
              <w:rPr>
                <w:rFonts w:ascii="Arial Narrow" w:eastAsia="Times New Roman" w:hAnsi="Arial Narrow" w:cs="Arial"/>
                <w:sz w:val="24"/>
                <w:szCs w:val="24"/>
                <w:lang w:val="es-MX" w:eastAsia="es-MX"/>
              </w:rPr>
              <w:t>50.73</w:t>
            </w:r>
          </w:p>
        </w:tc>
        <w:tc>
          <w:tcPr>
            <w:tcW w:w="1427" w:type="dxa"/>
            <w:tcBorders>
              <w:top w:val="nil"/>
              <w:left w:val="nil"/>
              <w:bottom w:val="single" w:sz="8" w:space="0" w:color="auto"/>
              <w:right w:val="single" w:sz="8" w:space="0" w:color="auto"/>
            </w:tcBorders>
            <w:shd w:val="clear" w:color="auto" w:fill="auto"/>
            <w:noWrap/>
            <w:vAlign w:val="center"/>
            <w:hideMark/>
          </w:tcPr>
          <w:p w:rsidR="00940CBA" w:rsidRPr="00CD728B" w:rsidRDefault="00940CBA" w:rsidP="00D2376D">
            <w:pPr>
              <w:spacing w:before="100" w:beforeAutospacing="1" w:after="100" w:afterAutospacing="1" w:line="360" w:lineRule="auto"/>
              <w:contextualSpacing/>
              <w:jc w:val="center"/>
              <w:rPr>
                <w:rFonts w:ascii="Arial Narrow" w:eastAsia="Times New Roman" w:hAnsi="Arial Narrow" w:cs="Arial"/>
                <w:sz w:val="24"/>
                <w:szCs w:val="24"/>
                <w:lang w:val="es-MX" w:eastAsia="es-MX"/>
              </w:rPr>
            </w:pPr>
            <w:r w:rsidRPr="00CD728B">
              <w:rPr>
                <w:rFonts w:ascii="Arial Narrow" w:eastAsia="Times New Roman" w:hAnsi="Arial Narrow" w:cs="Arial"/>
                <w:sz w:val="24"/>
                <w:szCs w:val="24"/>
                <w:lang w:val="es-MX" w:eastAsia="es-MX"/>
              </w:rPr>
              <w:t>36.93</w:t>
            </w:r>
          </w:p>
        </w:tc>
        <w:tc>
          <w:tcPr>
            <w:tcW w:w="1114" w:type="dxa"/>
            <w:tcBorders>
              <w:top w:val="nil"/>
              <w:left w:val="nil"/>
              <w:bottom w:val="single" w:sz="8" w:space="0" w:color="auto"/>
              <w:right w:val="single" w:sz="8" w:space="0" w:color="auto"/>
            </w:tcBorders>
            <w:shd w:val="clear" w:color="auto" w:fill="auto"/>
            <w:noWrap/>
            <w:vAlign w:val="center"/>
            <w:hideMark/>
          </w:tcPr>
          <w:p w:rsidR="00940CBA" w:rsidRPr="00CD728B" w:rsidRDefault="00940CBA" w:rsidP="00D2376D">
            <w:pPr>
              <w:spacing w:before="100" w:beforeAutospacing="1" w:after="100" w:afterAutospacing="1" w:line="360" w:lineRule="auto"/>
              <w:contextualSpacing/>
              <w:jc w:val="center"/>
              <w:rPr>
                <w:rFonts w:ascii="Arial Narrow" w:eastAsia="Times New Roman" w:hAnsi="Arial Narrow" w:cs="Arial"/>
                <w:sz w:val="24"/>
                <w:szCs w:val="24"/>
                <w:lang w:val="es-MX" w:eastAsia="es-MX"/>
              </w:rPr>
            </w:pPr>
            <w:r w:rsidRPr="00CD728B">
              <w:rPr>
                <w:rFonts w:ascii="Arial Narrow" w:eastAsia="Times New Roman" w:hAnsi="Arial Narrow" w:cs="Arial"/>
                <w:sz w:val="24"/>
                <w:szCs w:val="24"/>
                <w:lang w:val="es-MX" w:eastAsia="es-MX"/>
              </w:rPr>
              <w:t>64.54</w:t>
            </w:r>
          </w:p>
        </w:tc>
      </w:tr>
      <w:tr w:rsidR="00940CBA" w:rsidRPr="00CD728B" w:rsidTr="006C722A">
        <w:trPr>
          <w:trHeight w:val="345"/>
          <w:jc w:val="center"/>
        </w:trPr>
        <w:tc>
          <w:tcPr>
            <w:tcW w:w="3745" w:type="dxa"/>
            <w:tcBorders>
              <w:top w:val="nil"/>
              <w:left w:val="single" w:sz="8" w:space="0" w:color="auto"/>
              <w:bottom w:val="single" w:sz="8" w:space="0" w:color="auto"/>
              <w:right w:val="single" w:sz="8" w:space="0" w:color="auto"/>
            </w:tcBorders>
            <w:shd w:val="clear" w:color="auto" w:fill="auto"/>
            <w:noWrap/>
            <w:vAlign w:val="center"/>
            <w:hideMark/>
          </w:tcPr>
          <w:p w:rsidR="00940CBA" w:rsidRPr="00CD728B" w:rsidRDefault="00D2376D" w:rsidP="002E7D47">
            <w:pPr>
              <w:spacing w:before="100" w:beforeAutospacing="1" w:after="100" w:afterAutospacing="1" w:line="360" w:lineRule="auto"/>
              <w:contextualSpacing/>
              <w:jc w:val="both"/>
              <w:rPr>
                <w:rFonts w:ascii="Arial Narrow" w:eastAsia="Times New Roman" w:hAnsi="Arial Narrow" w:cs="Arial"/>
                <w:sz w:val="24"/>
                <w:szCs w:val="24"/>
                <w:lang w:val="es-MX" w:eastAsia="es-MX"/>
              </w:rPr>
            </w:pPr>
            <w:r w:rsidRPr="00CD728B">
              <w:rPr>
                <w:rFonts w:ascii="Arial Narrow" w:eastAsia="Times New Roman" w:hAnsi="Arial Narrow" w:cs="Arial"/>
                <w:sz w:val="24"/>
                <w:szCs w:val="24"/>
                <w:lang w:val="es-MX" w:eastAsia="es-MX"/>
              </w:rPr>
              <w:t>Demarcación Política</w:t>
            </w:r>
            <w:r w:rsidR="00940CBA" w:rsidRPr="00CD728B">
              <w:rPr>
                <w:rFonts w:ascii="Arial Narrow" w:eastAsia="Times New Roman" w:hAnsi="Arial Narrow" w:cs="Arial"/>
                <w:sz w:val="24"/>
                <w:szCs w:val="24"/>
                <w:lang w:val="es-MX" w:eastAsia="es-MX"/>
              </w:rPr>
              <w:t xml:space="preserve"> Benito Juárez</w:t>
            </w:r>
          </w:p>
        </w:tc>
        <w:tc>
          <w:tcPr>
            <w:tcW w:w="1065" w:type="dxa"/>
            <w:tcBorders>
              <w:top w:val="nil"/>
              <w:left w:val="nil"/>
              <w:bottom w:val="single" w:sz="8" w:space="0" w:color="auto"/>
              <w:right w:val="single" w:sz="8" w:space="0" w:color="auto"/>
            </w:tcBorders>
            <w:shd w:val="clear" w:color="auto" w:fill="C9C9C9" w:themeFill="accent3" w:themeFillTint="99"/>
            <w:noWrap/>
            <w:vAlign w:val="center"/>
            <w:hideMark/>
          </w:tcPr>
          <w:p w:rsidR="00940CBA" w:rsidRPr="00CD728B" w:rsidRDefault="00940CBA" w:rsidP="00D2376D">
            <w:pPr>
              <w:spacing w:before="100" w:beforeAutospacing="1" w:after="100" w:afterAutospacing="1" w:line="360" w:lineRule="auto"/>
              <w:contextualSpacing/>
              <w:jc w:val="center"/>
              <w:rPr>
                <w:rFonts w:ascii="Arial Narrow" w:eastAsia="Times New Roman" w:hAnsi="Arial Narrow" w:cs="Arial"/>
                <w:sz w:val="24"/>
                <w:szCs w:val="24"/>
                <w:lang w:val="es-MX" w:eastAsia="es-MX"/>
              </w:rPr>
            </w:pPr>
            <w:r w:rsidRPr="00CD728B">
              <w:rPr>
                <w:rFonts w:ascii="Arial Narrow" w:eastAsia="Times New Roman" w:hAnsi="Arial Narrow" w:cs="Arial"/>
                <w:sz w:val="24"/>
                <w:szCs w:val="24"/>
                <w:lang w:val="es-MX" w:eastAsia="es-MX"/>
              </w:rPr>
              <w:t>49.18</w:t>
            </w:r>
          </w:p>
        </w:tc>
        <w:tc>
          <w:tcPr>
            <w:tcW w:w="1427" w:type="dxa"/>
            <w:tcBorders>
              <w:top w:val="nil"/>
              <w:left w:val="nil"/>
              <w:bottom w:val="single" w:sz="8" w:space="0" w:color="auto"/>
              <w:right w:val="single" w:sz="8" w:space="0" w:color="auto"/>
            </w:tcBorders>
            <w:shd w:val="clear" w:color="auto" w:fill="auto"/>
            <w:noWrap/>
            <w:vAlign w:val="center"/>
            <w:hideMark/>
          </w:tcPr>
          <w:p w:rsidR="00940CBA" w:rsidRPr="00CD728B" w:rsidRDefault="00940CBA" w:rsidP="00D2376D">
            <w:pPr>
              <w:spacing w:before="100" w:beforeAutospacing="1" w:after="100" w:afterAutospacing="1" w:line="360" w:lineRule="auto"/>
              <w:contextualSpacing/>
              <w:jc w:val="center"/>
              <w:rPr>
                <w:rFonts w:ascii="Arial Narrow" w:eastAsia="Times New Roman" w:hAnsi="Arial Narrow" w:cs="Arial"/>
                <w:sz w:val="24"/>
                <w:szCs w:val="24"/>
                <w:lang w:val="es-MX" w:eastAsia="es-MX"/>
              </w:rPr>
            </w:pPr>
            <w:r w:rsidRPr="00CD728B">
              <w:rPr>
                <w:rFonts w:ascii="Arial Narrow" w:eastAsia="Times New Roman" w:hAnsi="Arial Narrow" w:cs="Arial"/>
                <w:sz w:val="24"/>
                <w:szCs w:val="24"/>
                <w:lang w:val="es-MX" w:eastAsia="es-MX"/>
              </w:rPr>
              <w:t>72.92</w:t>
            </w:r>
          </w:p>
        </w:tc>
        <w:tc>
          <w:tcPr>
            <w:tcW w:w="1114" w:type="dxa"/>
            <w:tcBorders>
              <w:top w:val="nil"/>
              <w:left w:val="nil"/>
              <w:bottom w:val="single" w:sz="8" w:space="0" w:color="auto"/>
              <w:right w:val="single" w:sz="8" w:space="0" w:color="auto"/>
            </w:tcBorders>
            <w:shd w:val="clear" w:color="auto" w:fill="auto"/>
            <w:noWrap/>
            <w:vAlign w:val="center"/>
            <w:hideMark/>
          </w:tcPr>
          <w:p w:rsidR="00940CBA" w:rsidRPr="00CD728B" w:rsidRDefault="00940CBA" w:rsidP="00D2376D">
            <w:pPr>
              <w:spacing w:before="100" w:beforeAutospacing="1" w:after="100" w:afterAutospacing="1" w:line="360" w:lineRule="auto"/>
              <w:contextualSpacing/>
              <w:jc w:val="center"/>
              <w:rPr>
                <w:rFonts w:ascii="Arial Narrow" w:eastAsia="Times New Roman" w:hAnsi="Arial Narrow" w:cs="Arial"/>
                <w:sz w:val="24"/>
                <w:szCs w:val="24"/>
                <w:lang w:val="es-MX" w:eastAsia="es-MX"/>
              </w:rPr>
            </w:pPr>
            <w:r w:rsidRPr="00CD728B">
              <w:rPr>
                <w:rFonts w:ascii="Arial Narrow" w:eastAsia="Times New Roman" w:hAnsi="Arial Narrow" w:cs="Arial"/>
                <w:sz w:val="24"/>
                <w:szCs w:val="24"/>
                <w:lang w:val="es-MX" w:eastAsia="es-MX"/>
              </w:rPr>
              <w:t>25.43</w:t>
            </w:r>
          </w:p>
        </w:tc>
      </w:tr>
      <w:tr w:rsidR="00940CBA" w:rsidRPr="00CD728B" w:rsidTr="006C722A">
        <w:trPr>
          <w:trHeight w:val="345"/>
          <w:jc w:val="center"/>
        </w:trPr>
        <w:tc>
          <w:tcPr>
            <w:tcW w:w="3745" w:type="dxa"/>
            <w:tcBorders>
              <w:top w:val="nil"/>
              <w:left w:val="single" w:sz="8" w:space="0" w:color="auto"/>
              <w:bottom w:val="single" w:sz="8" w:space="0" w:color="auto"/>
              <w:right w:val="single" w:sz="8" w:space="0" w:color="auto"/>
            </w:tcBorders>
            <w:shd w:val="clear" w:color="auto" w:fill="auto"/>
            <w:noWrap/>
            <w:vAlign w:val="center"/>
            <w:hideMark/>
          </w:tcPr>
          <w:p w:rsidR="00940CBA" w:rsidRPr="00CD728B" w:rsidRDefault="00D2376D" w:rsidP="002E7D47">
            <w:pPr>
              <w:spacing w:before="100" w:beforeAutospacing="1" w:after="100" w:afterAutospacing="1" w:line="360" w:lineRule="auto"/>
              <w:contextualSpacing/>
              <w:jc w:val="both"/>
              <w:rPr>
                <w:rFonts w:ascii="Arial Narrow" w:eastAsia="Times New Roman" w:hAnsi="Arial Narrow" w:cs="Arial"/>
                <w:sz w:val="24"/>
                <w:szCs w:val="24"/>
                <w:lang w:val="es-MX" w:eastAsia="es-MX"/>
              </w:rPr>
            </w:pPr>
            <w:r w:rsidRPr="00CD728B">
              <w:rPr>
                <w:rFonts w:ascii="Arial Narrow" w:eastAsia="Times New Roman" w:hAnsi="Arial Narrow" w:cs="Arial"/>
                <w:sz w:val="24"/>
                <w:szCs w:val="24"/>
                <w:lang w:val="es-MX" w:eastAsia="es-MX"/>
              </w:rPr>
              <w:t>Demarcación Política</w:t>
            </w:r>
            <w:r w:rsidR="00940CBA" w:rsidRPr="00CD728B">
              <w:rPr>
                <w:rFonts w:ascii="Arial Narrow" w:eastAsia="Times New Roman" w:hAnsi="Arial Narrow" w:cs="Arial"/>
                <w:sz w:val="24"/>
                <w:szCs w:val="24"/>
                <w:lang w:val="es-MX" w:eastAsia="es-MX"/>
              </w:rPr>
              <w:t xml:space="preserve"> Iztapalapa</w:t>
            </w:r>
          </w:p>
        </w:tc>
        <w:tc>
          <w:tcPr>
            <w:tcW w:w="1065" w:type="dxa"/>
            <w:tcBorders>
              <w:top w:val="nil"/>
              <w:left w:val="nil"/>
              <w:bottom w:val="single" w:sz="8" w:space="0" w:color="auto"/>
              <w:right w:val="single" w:sz="8" w:space="0" w:color="auto"/>
            </w:tcBorders>
            <w:shd w:val="clear" w:color="auto" w:fill="C9C9C9" w:themeFill="accent3" w:themeFillTint="99"/>
            <w:noWrap/>
            <w:vAlign w:val="center"/>
            <w:hideMark/>
          </w:tcPr>
          <w:p w:rsidR="00940CBA" w:rsidRPr="00CD728B" w:rsidRDefault="00940CBA" w:rsidP="00D2376D">
            <w:pPr>
              <w:spacing w:before="100" w:beforeAutospacing="1" w:after="100" w:afterAutospacing="1" w:line="360" w:lineRule="auto"/>
              <w:contextualSpacing/>
              <w:jc w:val="center"/>
              <w:rPr>
                <w:rFonts w:ascii="Arial Narrow" w:eastAsia="Times New Roman" w:hAnsi="Arial Narrow" w:cs="Arial"/>
                <w:sz w:val="24"/>
                <w:szCs w:val="24"/>
                <w:lang w:val="es-MX" w:eastAsia="es-MX"/>
              </w:rPr>
            </w:pPr>
            <w:r w:rsidRPr="00CD728B">
              <w:rPr>
                <w:rFonts w:ascii="Arial Narrow" w:eastAsia="Times New Roman" w:hAnsi="Arial Narrow" w:cs="Arial"/>
                <w:sz w:val="24"/>
                <w:szCs w:val="24"/>
                <w:lang w:val="es-MX" w:eastAsia="es-MX"/>
              </w:rPr>
              <w:t>41.63</w:t>
            </w:r>
          </w:p>
        </w:tc>
        <w:tc>
          <w:tcPr>
            <w:tcW w:w="1427" w:type="dxa"/>
            <w:tcBorders>
              <w:top w:val="nil"/>
              <w:left w:val="nil"/>
              <w:bottom w:val="single" w:sz="8" w:space="0" w:color="auto"/>
              <w:right w:val="single" w:sz="8" w:space="0" w:color="auto"/>
            </w:tcBorders>
            <w:shd w:val="clear" w:color="auto" w:fill="auto"/>
            <w:noWrap/>
            <w:vAlign w:val="center"/>
            <w:hideMark/>
          </w:tcPr>
          <w:p w:rsidR="00940CBA" w:rsidRPr="00CD728B" w:rsidRDefault="00940CBA" w:rsidP="00D2376D">
            <w:pPr>
              <w:spacing w:before="100" w:beforeAutospacing="1" w:after="100" w:afterAutospacing="1" w:line="360" w:lineRule="auto"/>
              <w:contextualSpacing/>
              <w:jc w:val="center"/>
              <w:rPr>
                <w:rFonts w:ascii="Arial Narrow" w:eastAsia="Times New Roman" w:hAnsi="Arial Narrow" w:cs="Arial"/>
                <w:sz w:val="24"/>
                <w:szCs w:val="24"/>
                <w:lang w:val="es-MX" w:eastAsia="es-MX"/>
              </w:rPr>
            </w:pPr>
            <w:r w:rsidRPr="00CD728B">
              <w:rPr>
                <w:rFonts w:ascii="Arial Narrow" w:eastAsia="Times New Roman" w:hAnsi="Arial Narrow" w:cs="Arial"/>
                <w:sz w:val="24"/>
                <w:szCs w:val="24"/>
                <w:lang w:val="es-MX" w:eastAsia="es-MX"/>
              </w:rPr>
              <w:t>42.25</w:t>
            </w:r>
          </w:p>
        </w:tc>
        <w:tc>
          <w:tcPr>
            <w:tcW w:w="1114" w:type="dxa"/>
            <w:tcBorders>
              <w:top w:val="nil"/>
              <w:left w:val="nil"/>
              <w:bottom w:val="single" w:sz="8" w:space="0" w:color="auto"/>
              <w:right w:val="single" w:sz="8" w:space="0" w:color="auto"/>
            </w:tcBorders>
            <w:shd w:val="clear" w:color="auto" w:fill="auto"/>
            <w:noWrap/>
            <w:vAlign w:val="center"/>
            <w:hideMark/>
          </w:tcPr>
          <w:p w:rsidR="00940CBA" w:rsidRPr="00CD728B" w:rsidRDefault="00940CBA" w:rsidP="00D2376D">
            <w:pPr>
              <w:spacing w:before="100" w:beforeAutospacing="1" w:after="100" w:afterAutospacing="1" w:line="360" w:lineRule="auto"/>
              <w:contextualSpacing/>
              <w:jc w:val="center"/>
              <w:rPr>
                <w:rFonts w:ascii="Arial Narrow" w:eastAsia="Times New Roman" w:hAnsi="Arial Narrow" w:cs="Arial"/>
                <w:sz w:val="24"/>
                <w:szCs w:val="24"/>
                <w:lang w:val="es-MX" w:eastAsia="es-MX"/>
              </w:rPr>
            </w:pPr>
            <w:r w:rsidRPr="00CD728B">
              <w:rPr>
                <w:rFonts w:ascii="Arial Narrow" w:eastAsia="Times New Roman" w:hAnsi="Arial Narrow" w:cs="Arial"/>
                <w:sz w:val="24"/>
                <w:szCs w:val="24"/>
                <w:lang w:val="es-MX" w:eastAsia="es-MX"/>
              </w:rPr>
              <w:t>41.01</w:t>
            </w:r>
          </w:p>
        </w:tc>
      </w:tr>
      <w:tr w:rsidR="00940CBA" w:rsidRPr="00CD728B" w:rsidTr="006C722A">
        <w:trPr>
          <w:trHeight w:val="345"/>
          <w:jc w:val="center"/>
        </w:trPr>
        <w:tc>
          <w:tcPr>
            <w:tcW w:w="3745" w:type="dxa"/>
            <w:tcBorders>
              <w:top w:val="nil"/>
              <w:left w:val="single" w:sz="8" w:space="0" w:color="auto"/>
              <w:bottom w:val="single" w:sz="8" w:space="0" w:color="auto"/>
              <w:right w:val="single" w:sz="8" w:space="0" w:color="auto"/>
            </w:tcBorders>
            <w:shd w:val="clear" w:color="auto" w:fill="auto"/>
            <w:noWrap/>
            <w:vAlign w:val="center"/>
            <w:hideMark/>
          </w:tcPr>
          <w:p w:rsidR="00940CBA" w:rsidRPr="00CD728B" w:rsidRDefault="00D2376D" w:rsidP="002E7D47">
            <w:pPr>
              <w:spacing w:before="100" w:beforeAutospacing="1" w:after="100" w:afterAutospacing="1" w:line="360" w:lineRule="auto"/>
              <w:contextualSpacing/>
              <w:jc w:val="both"/>
              <w:rPr>
                <w:rFonts w:ascii="Arial Narrow" w:eastAsia="Times New Roman" w:hAnsi="Arial Narrow" w:cs="Arial"/>
                <w:sz w:val="24"/>
                <w:szCs w:val="24"/>
                <w:lang w:val="es-MX" w:eastAsia="es-MX"/>
              </w:rPr>
            </w:pPr>
            <w:r w:rsidRPr="00CD728B">
              <w:rPr>
                <w:rFonts w:ascii="Arial Narrow" w:eastAsia="Times New Roman" w:hAnsi="Arial Narrow" w:cs="Arial"/>
                <w:sz w:val="24"/>
                <w:szCs w:val="24"/>
                <w:lang w:val="es-MX" w:eastAsia="es-MX"/>
              </w:rPr>
              <w:t>Demarcación Política</w:t>
            </w:r>
            <w:r w:rsidR="00940CBA" w:rsidRPr="00CD728B">
              <w:rPr>
                <w:rFonts w:ascii="Arial Narrow" w:eastAsia="Times New Roman" w:hAnsi="Arial Narrow" w:cs="Arial"/>
                <w:sz w:val="24"/>
                <w:szCs w:val="24"/>
                <w:lang w:val="es-MX" w:eastAsia="es-MX"/>
              </w:rPr>
              <w:t xml:space="preserve"> Xochimilco</w:t>
            </w:r>
          </w:p>
        </w:tc>
        <w:tc>
          <w:tcPr>
            <w:tcW w:w="1065" w:type="dxa"/>
            <w:tcBorders>
              <w:top w:val="nil"/>
              <w:left w:val="nil"/>
              <w:bottom w:val="single" w:sz="8" w:space="0" w:color="auto"/>
              <w:right w:val="single" w:sz="8" w:space="0" w:color="auto"/>
            </w:tcBorders>
            <w:shd w:val="clear" w:color="auto" w:fill="C9C9C9" w:themeFill="accent3" w:themeFillTint="99"/>
            <w:noWrap/>
            <w:vAlign w:val="center"/>
            <w:hideMark/>
          </w:tcPr>
          <w:p w:rsidR="00940CBA" w:rsidRPr="00CD728B" w:rsidRDefault="00940CBA" w:rsidP="00D2376D">
            <w:pPr>
              <w:spacing w:before="100" w:beforeAutospacing="1" w:after="100" w:afterAutospacing="1" w:line="360" w:lineRule="auto"/>
              <w:contextualSpacing/>
              <w:jc w:val="center"/>
              <w:rPr>
                <w:rFonts w:ascii="Arial Narrow" w:eastAsia="Times New Roman" w:hAnsi="Arial Narrow" w:cs="Arial"/>
                <w:sz w:val="24"/>
                <w:szCs w:val="24"/>
                <w:lang w:val="es-MX" w:eastAsia="es-MX"/>
              </w:rPr>
            </w:pPr>
            <w:r w:rsidRPr="00CD728B">
              <w:rPr>
                <w:rFonts w:ascii="Arial Narrow" w:eastAsia="Times New Roman" w:hAnsi="Arial Narrow" w:cs="Arial"/>
                <w:sz w:val="24"/>
                <w:szCs w:val="24"/>
                <w:lang w:val="es-MX" w:eastAsia="es-MX"/>
              </w:rPr>
              <w:t>31.48</w:t>
            </w:r>
          </w:p>
        </w:tc>
        <w:tc>
          <w:tcPr>
            <w:tcW w:w="1427" w:type="dxa"/>
            <w:tcBorders>
              <w:top w:val="nil"/>
              <w:left w:val="nil"/>
              <w:bottom w:val="single" w:sz="8" w:space="0" w:color="auto"/>
              <w:right w:val="single" w:sz="8" w:space="0" w:color="auto"/>
            </w:tcBorders>
            <w:shd w:val="clear" w:color="auto" w:fill="auto"/>
            <w:noWrap/>
            <w:vAlign w:val="center"/>
            <w:hideMark/>
          </w:tcPr>
          <w:p w:rsidR="00940CBA" w:rsidRPr="00CD728B" w:rsidRDefault="00940CBA" w:rsidP="00D2376D">
            <w:pPr>
              <w:spacing w:before="100" w:beforeAutospacing="1" w:after="100" w:afterAutospacing="1" w:line="360" w:lineRule="auto"/>
              <w:contextualSpacing/>
              <w:jc w:val="center"/>
              <w:rPr>
                <w:rFonts w:ascii="Arial Narrow" w:eastAsia="Times New Roman" w:hAnsi="Arial Narrow" w:cs="Arial"/>
                <w:sz w:val="24"/>
                <w:szCs w:val="24"/>
                <w:lang w:val="es-MX" w:eastAsia="es-MX"/>
              </w:rPr>
            </w:pPr>
            <w:r w:rsidRPr="00CD728B">
              <w:rPr>
                <w:rFonts w:ascii="Arial Narrow" w:eastAsia="Times New Roman" w:hAnsi="Arial Narrow" w:cs="Arial"/>
                <w:sz w:val="24"/>
                <w:szCs w:val="24"/>
                <w:lang w:val="es-MX" w:eastAsia="es-MX"/>
              </w:rPr>
              <w:t>62.96</w:t>
            </w:r>
          </w:p>
        </w:tc>
        <w:tc>
          <w:tcPr>
            <w:tcW w:w="1114" w:type="dxa"/>
            <w:tcBorders>
              <w:top w:val="nil"/>
              <w:left w:val="nil"/>
              <w:bottom w:val="single" w:sz="8" w:space="0" w:color="auto"/>
              <w:right w:val="single" w:sz="8" w:space="0" w:color="auto"/>
            </w:tcBorders>
            <w:shd w:val="clear" w:color="auto" w:fill="auto"/>
            <w:noWrap/>
            <w:vAlign w:val="center"/>
            <w:hideMark/>
          </w:tcPr>
          <w:p w:rsidR="00940CBA" w:rsidRPr="00CD728B" w:rsidRDefault="00940CBA" w:rsidP="00D2376D">
            <w:pPr>
              <w:spacing w:before="100" w:beforeAutospacing="1" w:after="100" w:afterAutospacing="1" w:line="360" w:lineRule="auto"/>
              <w:contextualSpacing/>
              <w:jc w:val="center"/>
              <w:rPr>
                <w:rFonts w:ascii="Arial Narrow" w:eastAsia="Times New Roman" w:hAnsi="Arial Narrow" w:cs="Arial"/>
                <w:sz w:val="24"/>
                <w:szCs w:val="24"/>
                <w:lang w:val="es-MX" w:eastAsia="es-MX"/>
              </w:rPr>
            </w:pPr>
            <w:r w:rsidRPr="00CD728B">
              <w:rPr>
                <w:rFonts w:ascii="Arial Narrow" w:eastAsia="Times New Roman" w:hAnsi="Arial Narrow" w:cs="Arial"/>
                <w:sz w:val="24"/>
                <w:szCs w:val="24"/>
                <w:lang w:val="es-MX" w:eastAsia="es-MX"/>
              </w:rPr>
              <w:t>0</w:t>
            </w:r>
          </w:p>
        </w:tc>
      </w:tr>
      <w:tr w:rsidR="00940CBA" w:rsidRPr="00CD728B" w:rsidTr="006C722A">
        <w:trPr>
          <w:trHeight w:val="345"/>
          <w:jc w:val="center"/>
        </w:trPr>
        <w:tc>
          <w:tcPr>
            <w:tcW w:w="3745" w:type="dxa"/>
            <w:tcBorders>
              <w:top w:val="nil"/>
              <w:left w:val="single" w:sz="8" w:space="0" w:color="auto"/>
              <w:bottom w:val="single" w:sz="8" w:space="0" w:color="auto"/>
              <w:right w:val="single" w:sz="8" w:space="0" w:color="auto"/>
            </w:tcBorders>
            <w:shd w:val="clear" w:color="auto" w:fill="auto"/>
            <w:noWrap/>
            <w:vAlign w:val="center"/>
            <w:hideMark/>
          </w:tcPr>
          <w:p w:rsidR="00940CBA" w:rsidRPr="00CD728B" w:rsidRDefault="00D2376D" w:rsidP="002E7D47">
            <w:pPr>
              <w:spacing w:before="100" w:beforeAutospacing="1" w:after="100" w:afterAutospacing="1" w:line="360" w:lineRule="auto"/>
              <w:contextualSpacing/>
              <w:jc w:val="both"/>
              <w:rPr>
                <w:rFonts w:ascii="Arial Narrow" w:eastAsia="Times New Roman" w:hAnsi="Arial Narrow" w:cs="Arial"/>
                <w:sz w:val="24"/>
                <w:szCs w:val="24"/>
                <w:lang w:val="es-MX" w:eastAsia="es-MX"/>
              </w:rPr>
            </w:pPr>
            <w:r w:rsidRPr="00CD728B">
              <w:rPr>
                <w:rFonts w:ascii="Arial Narrow" w:eastAsia="Times New Roman" w:hAnsi="Arial Narrow" w:cs="Arial"/>
                <w:sz w:val="24"/>
                <w:szCs w:val="24"/>
                <w:lang w:val="es-MX" w:eastAsia="es-MX"/>
              </w:rPr>
              <w:t>Demarcación Política</w:t>
            </w:r>
            <w:r w:rsidR="00940CBA" w:rsidRPr="00CD728B">
              <w:rPr>
                <w:rFonts w:ascii="Arial Narrow" w:eastAsia="Times New Roman" w:hAnsi="Arial Narrow" w:cs="Arial"/>
                <w:sz w:val="24"/>
                <w:szCs w:val="24"/>
                <w:lang w:val="es-MX" w:eastAsia="es-MX"/>
              </w:rPr>
              <w:t xml:space="preserve"> Iztacalco</w:t>
            </w:r>
          </w:p>
        </w:tc>
        <w:tc>
          <w:tcPr>
            <w:tcW w:w="1065" w:type="dxa"/>
            <w:tcBorders>
              <w:top w:val="nil"/>
              <w:left w:val="nil"/>
              <w:bottom w:val="single" w:sz="8" w:space="0" w:color="auto"/>
              <w:right w:val="single" w:sz="8" w:space="0" w:color="auto"/>
            </w:tcBorders>
            <w:shd w:val="clear" w:color="auto" w:fill="C9C9C9" w:themeFill="accent3" w:themeFillTint="99"/>
            <w:noWrap/>
            <w:vAlign w:val="center"/>
            <w:hideMark/>
          </w:tcPr>
          <w:p w:rsidR="00940CBA" w:rsidRPr="00CD728B" w:rsidRDefault="00940CBA" w:rsidP="00D2376D">
            <w:pPr>
              <w:spacing w:before="100" w:beforeAutospacing="1" w:after="100" w:afterAutospacing="1" w:line="360" w:lineRule="auto"/>
              <w:contextualSpacing/>
              <w:jc w:val="center"/>
              <w:rPr>
                <w:rFonts w:ascii="Arial Narrow" w:eastAsia="Times New Roman" w:hAnsi="Arial Narrow" w:cs="Arial"/>
                <w:sz w:val="24"/>
                <w:szCs w:val="24"/>
                <w:lang w:val="es-MX" w:eastAsia="es-MX"/>
              </w:rPr>
            </w:pPr>
            <w:r w:rsidRPr="00CD728B">
              <w:rPr>
                <w:rFonts w:ascii="Arial Narrow" w:eastAsia="Times New Roman" w:hAnsi="Arial Narrow" w:cs="Arial"/>
                <w:sz w:val="24"/>
                <w:szCs w:val="24"/>
                <w:lang w:val="es-MX" w:eastAsia="es-MX"/>
              </w:rPr>
              <w:t>21.41</w:t>
            </w:r>
          </w:p>
        </w:tc>
        <w:tc>
          <w:tcPr>
            <w:tcW w:w="1427" w:type="dxa"/>
            <w:tcBorders>
              <w:top w:val="nil"/>
              <w:left w:val="nil"/>
              <w:bottom w:val="single" w:sz="8" w:space="0" w:color="auto"/>
              <w:right w:val="single" w:sz="8" w:space="0" w:color="auto"/>
            </w:tcBorders>
            <w:shd w:val="clear" w:color="auto" w:fill="auto"/>
            <w:noWrap/>
            <w:vAlign w:val="center"/>
            <w:hideMark/>
          </w:tcPr>
          <w:p w:rsidR="00940CBA" w:rsidRPr="00CD728B" w:rsidRDefault="00940CBA" w:rsidP="00D2376D">
            <w:pPr>
              <w:spacing w:before="100" w:beforeAutospacing="1" w:after="100" w:afterAutospacing="1" w:line="360" w:lineRule="auto"/>
              <w:contextualSpacing/>
              <w:jc w:val="center"/>
              <w:rPr>
                <w:rFonts w:ascii="Arial Narrow" w:eastAsia="Times New Roman" w:hAnsi="Arial Narrow" w:cs="Arial"/>
                <w:sz w:val="24"/>
                <w:szCs w:val="24"/>
                <w:lang w:val="es-MX" w:eastAsia="es-MX"/>
              </w:rPr>
            </w:pPr>
            <w:r w:rsidRPr="00CD728B">
              <w:rPr>
                <w:rFonts w:ascii="Arial Narrow" w:eastAsia="Times New Roman" w:hAnsi="Arial Narrow" w:cs="Arial"/>
                <w:sz w:val="24"/>
                <w:szCs w:val="24"/>
                <w:lang w:val="es-MX" w:eastAsia="es-MX"/>
              </w:rPr>
              <w:t>9.88</w:t>
            </w:r>
          </w:p>
        </w:tc>
        <w:tc>
          <w:tcPr>
            <w:tcW w:w="1114" w:type="dxa"/>
            <w:tcBorders>
              <w:top w:val="nil"/>
              <w:left w:val="nil"/>
              <w:bottom w:val="single" w:sz="8" w:space="0" w:color="auto"/>
              <w:right w:val="single" w:sz="8" w:space="0" w:color="auto"/>
            </w:tcBorders>
            <w:shd w:val="clear" w:color="auto" w:fill="auto"/>
            <w:noWrap/>
            <w:vAlign w:val="center"/>
            <w:hideMark/>
          </w:tcPr>
          <w:p w:rsidR="00940CBA" w:rsidRPr="00CD728B" w:rsidRDefault="00940CBA" w:rsidP="00D2376D">
            <w:pPr>
              <w:spacing w:before="100" w:beforeAutospacing="1" w:after="100" w:afterAutospacing="1" w:line="360" w:lineRule="auto"/>
              <w:contextualSpacing/>
              <w:jc w:val="center"/>
              <w:rPr>
                <w:rFonts w:ascii="Arial Narrow" w:eastAsia="Times New Roman" w:hAnsi="Arial Narrow" w:cs="Arial"/>
                <w:sz w:val="24"/>
                <w:szCs w:val="24"/>
                <w:lang w:val="es-MX" w:eastAsia="es-MX"/>
              </w:rPr>
            </w:pPr>
            <w:r w:rsidRPr="00CD728B">
              <w:rPr>
                <w:rFonts w:ascii="Arial Narrow" w:eastAsia="Times New Roman" w:hAnsi="Arial Narrow" w:cs="Arial"/>
                <w:sz w:val="24"/>
                <w:szCs w:val="24"/>
                <w:lang w:val="es-MX" w:eastAsia="es-MX"/>
              </w:rPr>
              <w:t>32.95</w:t>
            </w:r>
          </w:p>
        </w:tc>
      </w:tr>
    </w:tbl>
    <w:p w:rsidR="006C722A" w:rsidRPr="006C722A" w:rsidRDefault="006C722A" w:rsidP="006C722A">
      <w:pPr>
        <w:spacing w:before="100" w:beforeAutospacing="1" w:after="100" w:afterAutospacing="1" w:line="360" w:lineRule="auto"/>
        <w:contextualSpacing/>
        <w:jc w:val="both"/>
        <w:rPr>
          <w:rFonts w:ascii="Arial Narrow" w:hAnsi="Arial Narrow" w:cs="Arial"/>
          <w:sz w:val="20"/>
          <w:szCs w:val="24"/>
        </w:rPr>
      </w:pPr>
      <w:r w:rsidRPr="006C722A">
        <w:rPr>
          <w:rFonts w:ascii="Arial Narrow" w:hAnsi="Arial Narrow" w:cs="Arial"/>
          <w:b/>
          <w:sz w:val="20"/>
          <w:szCs w:val="24"/>
        </w:rPr>
        <w:t>Nota metodológica</w:t>
      </w:r>
      <w:r w:rsidRPr="006C722A">
        <w:rPr>
          <w:rFonts w:ascii="Arial Narrow" w:hAnsi="Arial Narrow" w:cs="Arial"/>
          <w:sz w:val="20"/>
          <w:szCs w:val="24"/>
        </w:rPr>
        <w:t>: El IGOT se compone del promedio de ICOT-P</w:t>
      </w:r>
      <w:r w:rsidR="00623A69">
        <w:rPr>
          <w:rFonts w:ascii="Arial Narrow" w:hAnsi="Arial Narrow" w:cs="Arial"/>
          <w:sz w:val="20"/>
          <w:szCs w:val="24"/>
        </w:rPr>
        <w:t>T</w:t>
      </w:r>
      <w:r w:rsidRPr="006C722A">
        <w:rPr>
          <w:rFonts w:ascii="Arial Narrow" w:hAnsi="Arial Narrow" w:cs="Arial"/>
          <w:sz w:val="20"/>
          <w:szCs w:val="24"/>
        </w:rPr>
        <w:t xml:space="preserve"> e ICOT-PNT.</w:t>
      </w:r>
    </w:p>
    <w:p w:rsidR="00940CBA" w:rsidRPr="00CD728B" w:rsidRDefault="00940CBA"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 xml:space="preserve">En atención a la Tabla de Aplicabilidad realizada por la DEAEE del Instituto, las obligaciones que los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de la Administración Pública Central deben actualizar y publicar en el SIPOT de la PNT, así como en sus respectivos portales de internet son las contempladas en los siguientes </w:t>
      </w:r>
      <w:r w:rsidR="009D7771">
        <w:rPr>
          <w:rFonts w:ascii="Arial Narrow" w:hAnsi="Arial Narrow" w:cs="Arial"/>
          <w:sz w:val="24"/>
          <w:szCs w:val="24"/>
        </w:rPr>
        <w:t>Artículo</w:t>
      </w:r>
      <w:r w:rsidRPr="00CD728B">
        <w:rPr>
          <w:rFonts w:ascii="Arial Narrow" w:hAnsi="Arial Narrow" w:cs="Arial"/>
          <w:sz w:val="24"/>
          <w:szCs w:val="24"/>
        </w:rPr>
        <w:t xml:space="preserve">s: </w:t>
      </w:r>
    </w:p>
    <w:p w:rsidR="00940CBA" w:rsidRPr="00CD728B" w:rsidRDefault="009D7771" w:rsidP="002E7D47">
      <w:pPr>
        <w:pStyle w:val="Prrafodelista"/>
        <w:numPr>
          <w:ilvl w:val="0"/>
          <w:numId w:val="20"/>
        </w:numPr>
        <w:spacing w:before="100" w:beforeAutospacing="1" w:after="100" w:afterAutospacing="1" w:line="360" w:lineRule="auto"/>
        <w:jc w:val="both"/>
        <w:rPr>
          <w:rFonts w:ascii="Arial Narrow" w:hAnsi="Arial Narrow" w:cs="Arial"/>
          <w:sz w:val="24"/>
          <w:szCs w:val="24"/>
          <w:lang w:val="es-ES_tradnl"/>
        </w:rPr>
      </w:pPr>
      <w:r>
        <w:rPr>
          <w:rFonts w:ascii="Arial Narrow" w:hAnsi="Arial Narrow" w:cs="Arial"/>
          <w:sz w:val="24"/>
          <w:szCs w:val="24"/>
          <w:lang w:val="es-ES_tradnl"/>
        </w:rPr>
        <w:t>Artículo</w:t>
      </w:r>
      <w:r w:rsidR="00940CBA" w:rsidRPr="00CD728B">
        <w:rPr>
          <w:rFonts w:ascii="Arial Narrow" w:hAnsi="Arial Narrow" w:cs="Arial"/>
          <w:sz w:val="24"/>
          <w:szCs w:val="24"/>
          <w:lang w:val="es-ES_tradnl"/>
        </w:rPr>
        <w:t xml:space="preserve"> 121. Obligaciones comunes, </w:t>
      </w:r>
    </w:p>
    <w:p w:rsidR="00940CBA" w:rsidRPr="00CD728B" w:rsidRDefault="009D7771" w:rsidP="002E7D47">
      <w:pPr>
        <w:pStyle w:val="Prrafodelista"/>
        <w:numPr>
          <w:ilvl w:val="0"/>
          <w:numId w:val="20"/>
        </w:numPr>
        <w:spacing w:before="100" w:beforeAutospacing="1" w:after="100" w:afterAutospacing="1" w:line="360" w:lineRule="auto"/>
        <w:jc w:val="both"/>
        <w:rPr>
          <w:rFonts w:ascii="Arial Narrow" w:hAnsi="Arial Narrow" w:cs="Arial"/>
          <w:sz w:val="24"/>
          <w:szCs w:val="24"/>
          <w:lang w:val="es-ES_tradnl"/>
        </w:rPr>
      </w:pPr>
      <w:r>
        <w:rPr>
          <w:rFonts w:ascii="Arial Narrow" w:hAnsi="Arial Narrow" w:cs="Arial"/>
          <w:sz w:val="24"/>
          <w:szCs w:val="24"/>
          <w:lang w:val="es-ES_tradnl"/>
        </w:rPr>
        <w:t>Artículo</w:t>
      </w:r>
      <w:r w:rsidR="00BC3D51" w:rsidRPr="00CD728B">
        <w:rPr>
          <w:rFonts w:ascii="Arial Narrow" w:hAnsi="Arial Narrow" w:cs="Arial"/>
          <w:sz w:val="24"/>
          <w:szCs w:val="24"/>
          <w:lang w:val="es-ES_tradnl"/>
        </w:rPr>
        <w:t xml:space="preserve"> 122. </w:t>
      </w:r>
      <w:r w:rsidR="00940CBA" w:rsidRPr="00CD728B">
        <w:rPr>
          <w:rFonts w:ascii="Arial Narrow" w:hAnsi="Arial Narrow" w:cs="Arial"/>
          <w:sz w:val="24"/>
          <w:szCs w:val="24"/>
          <w:lang w:val="es-ES_tradnl"/>
        </w:rPr>
        <w:t xml:space="preserve">Obligaciones comunes que únicamente son aplicables a la Secretaría de Desarrollo Social, Secretaría de Medio Ambiente, Secretaría de Educación, Secretaría de Desarrollo Rural y Equidad para las Comunidades, Secretaría de Ciencia, Tecnología e Innovación y Secretaría de Trabajo y Fomento al Empleo. </w:t>
      </w:r>
    </w:p>
    <w:p w:rsidR="00940CBA" w:rsidRPr="00CD728B" w:rsidRDefault="009D7771" w:rsidP="002E7D47">
      <w:pPr>
        <w:pStyle w:val="Prrafodelista"/>
        <w:numPr>
          <w:ilvl w:val="0"/>
          <w:numId w:val="20"/>
        </w:numPr>
        <w:spacing w:before="100" w:beforeAutospacing="1" w:after="100" w:afterAutospacing="1" w:line="360" w:lineRule="auto"/>
        <w:jc w:val="both"/>
        <w:rPr>
          <w:rFonts w:ascii="Arial Narrow" w:hAnsi="Arial Narrow" w:cs="Arial"/>
          <w:sz w:val="24"/>
          <w:szCs w:val="24"/>
          <w:lang w:val="es-ES_tradnl"/>
        </w:rPr>
      </w:pPr>
      <w:r>
        <w:rPr>
          <w:rFonts w:ascii="Arial Narrow" w:hAnsi="Arial Narrow" w:cs="Arial"/>
          <w:sz w:val="24"/>
          <w:szCs w:val="24"/>
          <w:lang w:val="es-ES_tradnl"/>
        </w:rPr>
        <w:t>Artículo</w:t>
      </w:r>
      <w:r w:rsidR="00940CBA" w:rsidRPr="00CD728B">
        <w:rPr>
          <w:rFonts w:ascii="Arial Narrow" w:hAnsi="Arial Narrow" w:cs="Arial"/>
          <w:sz w:val="24"/>
          <w:szCs w:val="24"/>
          <w:lang w:val="es-ES_tradnl"/>
        </w:rPr>
        <w:t xml:space="preserve"> 124. Obligaciones específicas de los Órganos Políticos Administrativos, Alcaldías o Demarcaciones Territoriales. </w:t>
      </w:r>
    </w:p>
    <w:p w:rsidR="00940CBA" w:rsidRPr="00CD728B" w:rsidRDefault="009D7771" w:rsidP="002E7D47">
      <w:pPr>
        <w:pStyle w:val="Prrafodelista"/>
        <w:numPr>
          <w:ilvl w:val="0"/>
          <w:numId w:val="20"/>
        </w:numPr>
        <w:spacing w:before="100" w:beforeAutospacing="1" w:after="100" w:afterAutospacing="1" w:line="360" w:lineRule="auto"/>
        <w:jc w:val="both"/>
        <w:rPr>
          <w:rFonts w:ascii="Arial Narrow" w:hAnsi="Arial Narrow" w:cs="Arial"/>
          <w:sz w:val="24"/>
          <w:szCs w:val="24"/>
          <w:lang w:val="es-ES_tradnl"/>
        </w:rPr>
      </w:pPr>
      <w:r>
        <w:rPr>
          <w:rFonts w:ascii="Arial Narrow" w:hAnsi="Arial Narrow" w:cs="Arial"/>
          <w:sz w:val="24"/>
          <w:szCs w:val="24"/>
          <w:lang w:val="es-ES_tradnl"/>
        </w:rPr>
        <w:t>Artículo</w:t>
      </w:r>
      <w:r w:rsidR="00940CBA" w:rsidRPr="00CD728B">
        <w:rPr>
          <w:rFonts w:ascii="Arial Narrow" w:hAnsi="Arial Narrow" w:cs="Arial"/>
          <w:sz w:val="24"/>
          <w:szCs w:val="24"/>
          <w:lang w:val="es-ES_tradnl"/>
        </w:rPr>
        <w:t xml:space="preserve"> 143. Disposiciones Particulares,</w:t>
      </w:r>
    </w:p>
    <w:p w:rsidR="00940CBA" w:rsidRPr="00CD728B" w:rsidRDefault="009D7771" w:rsidP="002E7D47">
      <w:pPr>
        <w:pStyle w:val="Prrafodelista"/>
        <w:numPr>
          <w:ilvl w:val="0"/>
          <w:numId w:val="20"/>
        </w:numPr>
        <w:spacing w:before="100" w:beforeAutospacing="1" w:after="100" w:afterAutospacing="1" w:line="360" w:lineRule="auto"/>
        <w:jc w:val="both"/>
        <w:rPr>
          <w:rFonts w:ascii="Arial Narrow" w:hAnsi="Arial Narrow" w:cs="Arial"/>
          <w:sz w:val="24"/>
          <w:szCs w:val="24"/>
          <w:lang w:val="es-ES_tradnl"/>
        </w:rPr>
      </w:pPr>
      <w:r>
        <w:rPr>
          <w:rFonts w:ascii="Arial Narrow" w:hAnsi="Arial Narrow" w:cs="Arial"/>
          <w:sz w:val="24"/>
          <w:szCs w:val="24"/>
          <w:lang w:val="es-ES_tradnl"/>
        </w:rPr>
        <w:t>Artículo</w:t>
      </w:r>
      <w:r w:rsidR="00940CBA" w:rsidRPr="00CD728B">
        <w:rPr>
          <w:rFonts w:ascii="Arial Narrow" w:hAnsi="Arial Narrow" w:cs="Arial"/>
          <w:sz w:val="24"/>
          <w:szCs w:val="24"/>
          <w:lang w:val="es-ES_tradnl"/>
        </w:rPr>
        <w:t xml:space="preserve"> 145. Disposiciones Particulares,</w:t>
      </w:r>
    </w:p>
    <w:p w:rsidR="00940CBA" w:rsidRPr="00CD728B" w:rsidRDefault="009D7771" w:rsidP="002E7D47">
      <w:pPr>
        <w:pStyle w:val="Prrafodelista"/>
        <w:numPr>
          <w:ilvl w:val="0"/>
          <w:numId w:val="20"/>
        </w:numPr>
        <w:spacing w:before="100" w:beforeAutospacing="1" w:after="100" w:afterAutospacing="1" w:line="360" w:lineRule="auto"/>
        <w:jc w:val="both"/>
        <w:rPr>
          <w:rFonts w:ascii="Arial Narrow" w:hAnsi="Arial Narrow" w:cs="Arial"/>
          <w:sz w:val="24"/>
          <w:szCs w:val="24"/>
          <w:lang w:val="es-ES_tradnl"/>
        </w:rPr>
      </w:pPr>
      <w:r>
        <w:rPr>
          <w:rFonts w:ascii="Arial Narrow" w:hAnsi="Arial Narrow" w:cs="Arial"/>
          <w:sz w:val="24"/>
          <w:szCs w:val="24"/>
          <w:lang w:val="es-ES_tradnl"/>
        </w:rPr>
        <w:t>Artículo</w:t>
      </w:r>
      <w:r w:rsidR="00940CBA" w:rsidRPr="00CD728B">
        <w:rPr>
          <w:rFonts w:ascii="Arial Narrow" w:hAnsi="Arial Narrow" w:cs="Arial"/>
          <w:sz w:val="24"/>
          <w:szCs w:val="24"/>
          <w:lang w:val="es-ES_tradnl"/>
        </w:rPr>
        <w:t xml:space="preserve"> 146. Disposiciones Particulares, y </w:t>
      </w:r>
    </w:p>
    <w:p w:rsidR="00BC3D51" w:rsidRPr="00CD728B" w:rsidRDefault="009D7771" w:rsidP="002E7D47">
      <w:pPr>
        <w:pStyle w:val="Prrafodelista"/>
        <w:numPr>
          <w:ilvl w:val="0"/>
          <w:numId w:val="20"/>
        </w:numPr>
        <w:spacing w:before="100" w:beforeAutospacing="1" w:after="100" w:afterAutospacing="1" w:line="360" w:lineRule="auto"/>
        <w:jc w:val="both"/>
        <w:rPr>
          <w:rFonts w:ascii="Arial Narrow" w:hAnsi="Arial Narrow" w:cs="Arial"/>
          <w:sz w:val="24"/>
          <w:szCs w:val="24"/>
          <w:lang w:val="es-ES_tradnl"/>
        </w:rPr>
      </w:pPr>
      <w:r>
        <w:rPr>
          <w:rFonts w:ascii="Arial Narrow" w:hAnsi="Arial Narrow" w:cs="Arial"/>
          <w:sz w:val="24"/>
          <w:szCs w:val="24"/>
          <w:lang w:val="es-ES_tradnl"/>
        </w:rPr>
        <w:t>Artículo</w:t>
      </w:r>
      <w:r w:rsidR="00940CBA" w:rsidRPr="00CD728B">
        <w:rPr>
          <w:rFonts w:ascii="Arial Narrow" w:hAnsi="Arial Narrow" w:cs="Arial"/>
          <w:sz w:val="24"/>
          <w:szCs w:val="24"/>
          <w:lang w:val="es-ES_tradnl"/>
        </w:rPr>
        <w:t xml:space="preserve"> 147. Disposiciones Particulares.</w:t>
      </w:r>
    </w:p>
    <w:p w:rsidR="00940CBA" w:rsidRPr="00CD728B" w:rsidRDefault="00940CBA" w:rsidP="002E7D47">
      <w:pPr>
        <w:pStyle w:val="Ttulo3"/>
        <w:numPr>
          <w:ilvl w:val="2"/>
          <w:numId w:val="21"/>
        </w:numPr>
        <w:contextualSpacing/>
        <w:jc w:val="both"/>
        <w:rPr>
          <w:rFonts w:ascii="Arial Narrow" w:hAnsi="Arial Narrow"/>
          <w:b/>
          <w:color w:val="auto"/>
        </w:rPr>
      </w:pPr>
      <w:bookmarkStart w:id="38" w:name="_Toc14293739"/>
      <w:r w:rsidRPr="00CD728B">
        <w:rPr>
          <w:rFonts w:ascii="Arial Narrow" w:hAnsi="Arial Narrow"/>
          <w:b/>
          <w:color w:val="auto"/>
        </w:rPr>
        <w:lastRenderedPageBreak/>
        <w:t>Análisis global de cumplimiento de las Demarcaciones Políticas</w:t>
      </w:r>
      <w:bookmarkEnd w:id="38"/>
      <w:r w:rsidRPr="00CD728B">
        <w:rPr>
          <w:rFonts w:ascii="Arial Narrow" w:hAnsi="Arial Narrow"/>
          <w:b/>
          <w:color w:val="auto"/>
        </w:rPr>
        <w:t xml:space="preserve"> </w:t>
      </w:r>
    </w:p>
    <w:p w:rsidR="00D2376D" w:rsidRPr="00CD728B" w:rsidRDefault="00D2376D" w:rsidP="00D2376D">
      <w:pPr>
        <w:rPr>
          <w:rFonts w:ascii="Arial Narrow" w:hAnsi="Arial Narrow"/>
        </w:rPr>
      </w:pPr>
    </w:p>
    <w:p w:rsidR="00940CBA" w:rsidRPr="00CD728B" w:rsidRDefault="00940CBA" w:rsidP="002E7D47">
      <w:pPr>
        <w:spacing w:before="100" w:beforeAutospacing="1" w:after="100" w:afterAutospacing="1" w:line="360" w:lineRule="auto"/>
        <w:contextualSpacing/>
        <w:jc w:val="both"/>
        <w:rPr>
          <w:rFonts w:ascii="Arial Narrow" w:hAnsi="Arial Narrow" w:cs="Arial"/>
          <w:sz w:val="24"/>
          <w:szCs w:val="24"/>
          <w:u w:val="single"/>
        </w:rPr>
      </w:pPr>
      <w:r w:rsidRPr="00CD728B">
        <w:rPr>
          <w:rFonts w:ascii="Arial Narrow" w:hAnsi="Arial Narrow" w:cs="Arial"/>
          <w:sz w:val="24"/>
          <w:szCs w:val="24"/>
          <w:u w:val="single"/>
        </w:rPr>
        <w:t>Índices Globales de Cumplimiento de la</w:t>
      </w:r>
      <w:r w:rsidR="00D2376D" w:rsidRPr="00CD728B">
        <w:rPr>
          <w:rFonts w:ascii="Arial Narrow" w:hAnsi="Arial Narrow" w:cs="Arial"/>
          <w:sz w:val="24"/>
          <w:szCs w:val="24"/>
          <w:u w:val="single"/>
        </w:rPr>
        <w:t>s Obligaciones de Transparencia</w:t>
      </w:r>
    </w:p>
    <w:p w:rsidR="00940CBA" w:rsidRPr="00CD728B" w:rsidRDefault="00940CBA"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Con relación al IGOT, la calificación más alta fue de 87.90 y las más baja de 21.41; obteniendo este orden de gobierno una calificación promedio de 63.03. Nueve</w:t>
      </w:r>
      <w:r w:rsidRPr="00CD728B">
        <w:rPr>
          <w:rStyle w:val="Refdenotaalpie"/>
          <w:rFonts w:ascii="Arial Narrow" w:hAnsi="Arial Narrow" w:cs="Arial"/>
          <w:sz w:val="24"/>
          <w:szCs w:val="24"/>
        </w:rPr>
        <w:footnoteReference w:id="47"/>
      </w:r>
      <w:r w:rsidRPr="00CD728B">
        <w:rPr>
          <w:rFonts w:ascii="Arial Narrow" w:hAnsi="Arial Narrow" w:cs="Arial"/>
          <w:sz w:val="24"/>
          <w:szCs w:val="24"/>
        </w:rPr>
        <w:t xml:space="preserve">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cumplieron parcialmente obteniendo una calificación entre 66.92 y 87.90; siete</w:t>
      </w:r>
      <w:r w:rsidRPr="00CD728B">
        <w:rPr>
          <w:rStyle w:val="Refdenotaalpie"/>
          <w:rFonts w:ascii="Arial Narrow" w:hAnsi="Arial Narrow" w:cs="Arial"/>
          <w:sz w:val="24"/>
          <w:szCs w:val="24"/>
        </w:rPr>
        <w:footnoteReference w:id="48"/>
      </w:r>
      <w:r w:rsidRPr="00CD728B">
        <w:rPr>
          <w:rFonts w:ascii="Arial Narrow" w:hAnsi="Arial Narrow" w:cs="Arial"/>
          <w:sz w:val="24"/>
          <w:szCs w:val="24"/>
        </w:rPr>
        <w:t xml:space="preserve">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incumplieron parcialmente obteniendo entre 21.41 y 57.77.</w:t>
      </w:r>
    </w:p>
    <w:p w:rsidR="00D2376D" w:rsidRPr="00CD728B" w:rsidRDefault="00D2376D" w:rsidP="002E7D47">
      <w:pPr>
        <w:spacing w:before="100" w:beforeAutospacing="1" w:after="100" w:afterAutospacing="1" w:line="360" w:lineRule="auto"/>
        <w:contextualSpacing/>
        <w:jc w:val="both"/>
        <w:rPr>
          <w:rFonts w:ascii="Arial Narrow" w:hAnsi="Arial Narrow" w:cs="Arial"/>
          <w:sz w:val="24"/>
          <w:szCs w:val="24"/>
        </w:rPr>
      </w:pPr>
    </w:p>
    <w:p w:rsidR="00940CBA" w:rsidRPr="00CD728B" w:rsidRDefault="00940CBA"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 xml:space="preserve">En este orden de gobierno existe un grado de cumplimiento de 63.03% en lo que respecta a la publicación general de la información, 63.65% sobre la publicación en la PNT y 62.41% en los portales institucionales de los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w:t>
      </w:r>
    </w:p>
    <w:p w:rsidR="00D2376D" w:rsidRPr="00CD728B" w:rsidRDefault="00D2376D" w:rsidP="002E7D47">
      <w:pPr>
        <w:spacing w:before="100" w:beforeAutospacing="1" w:after="100" w:afterAutospacing="1" w:line="360" w:lineRule="auto"/>
        <w:contextualSpacing/>
        <w:jc w:val="both"/>
        <w:rPr>
          <w:rFonts w:ascii="Arial Narrow" w:hAnsi="Arial Narrow" w:cs="Arial"/>
          <w:sz w:val="24"/>
          <w:szCs w:val="24"/>
        </w:rPr>
      </w:pPr>
    </w:p>
    <w:p w:rsidR="00940CBA" w:rsidRPr="00CD728B" w:rsidRDefault="00940CBA" w:rsidP="002E7D47">
      <w:pPr>
        <w:spacing w:before="100" w:beforeAutospacing="1" w:after="100" w:afterAutospacing="1" w:line="360" w:lineRule="auto"/>
        <w:contextualSpacing/>
        <w:jc w:val="both"/>
        <w:rPr>
          <w:rFonts w:ascii="Arial Narrow" w:hAnsi="Arial Narrow" w:cs="Arial"/>
          <w:sz w:val="24"/>
          <w:szCs w:val="24"/>
          <w:u w:val="single"/>
        </w:rPr>
      </w:pPr>
      <w:r w:rsidRPr="00CD728B">
        <w:rPr>
          <w:rFonts w:ascii="Arial Narrow" w:hAnsi="Arial Narrow" w:cs="Arial"/>
          <w:sz w:val="24"/>
          <w:szCs w:val="24"/>
          <w:u w:val="single"/>
        </w:rPr>
        <w:t xml:space="preserve">Cumplimiento diferenciado por </w:t>
      </w:r>
      <w:r w:rsidR="009D7771">
        <w:rPr>
          <w:rFonts w:ascii="Arial Narrow" w:hAnsi="Arial Narrow" w:cs="Arial"/>
          <w:sz w:val="24"/>
          <w:szCs w:val="24"/>
          <w:u w:val="single"/>
        </w:rPr>
        <w:t>Artículo</w:t>
      </w:r>
      <w:r w:rsidRPr="00CD728B">
        <w:rPr>
          <w:rFonts w:ascii="Arial Narrow" w:hAnsi="Arial Narrow" w:cs="Arial"/>
          <w:sz w:val="24"/>
          <w:szCs w:val="24"/>
          <w:u w:val="single"/>
        </w:rPr>
        <w:t xml:space="preserve">s </w:t>
      </w:r>
    </w:p>
    <w:p w:rsidR="00D2376D" w:rsidRPr="00CD728B" w:rsidRDefault="00D2376D" w:rsidP="002E7D47">
      <w:pPr>
        <w:spacing w:before="100" w:beforeAutospacing="1" w:after="100" w:afterAutospacing="1" w:line="360" w:lineRule="auto"/>
        <w:contextualSpacing/>
        <w:jc w:val="both"/>
        <w:rPr>
          <w:rFonts w:ascii="Arial Narrow" w:hAnsi="Arial Narrow" w:cs="Arial"/>
          <w:sz w:val="24"/>
          <w:szCs w:val="24"/>
          <w:u w:val="single"/>
        </w:rPr>
      </w:pPr>
    </w:p>
    <w:p w:rsidR="00940CBA" w:rsidRPr="00CD728B" w:rsidRDefault="00940CBA"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 xml:space="preserve">Con relación al tipo de obligaciones de transparencia, este orden de gobierno del ámbito ejecutivo ha cumplido parcialmente en la publicación y actualización de sus obligaciones comunes, específicas y disposiciones particulares; obteniendo un promedio de cumplimiento de 66.23%, 60.12% y 59.14% respectivamente. </w:t>
      </w:r>
    </w:p>
    <w:p w:rsidR="00D2376D" w:rsidRPr="00CD728B" w:rsidRDefault="00D2376D" w:rsidP="002E7D47">
      <w:pPr>
        <w:spacing w:before="100" w:beforeAutospacing="1" w:after="100" w:afterAutospacing="1" w:line="360" w:lineRule="auto"/>
        <w:contextualSpacing/>
        <w:jc w:val="both"/>
        <w:rPr>
          <w:rFonts w:ascii="Arial Narrow" w:hAnsi="Arial Narrow" w:cs="Arial"/>
          <w:sz w:val="24"/>
          <w:szCs w:val="24"/>
        </w:rPr>
      </w:pPr>
    </w:p>
    <w:p w:rsidR="00940CBA" w:rsidRPr="00CD728B" w:rsidRDefault="00940CBA"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 xml:space="preserve">En esta misma línea, el </w:t>
      </w:r>
      <w:r w:rsidR="009D7771">
        <w:rPr>
          <w:rFonts w:ascii="Arial Narrow" w:hAnsi="Arial Narrow" w:cs="Arial"/>
          <w:sz w:val="24"/>
          <w:szCs w:val="24"/>
        </w:rPr>
        <w:t>Artículo</w:t>
      </w:r>
      <w:r w:rsidR="003250DC">
        <w:rPr>
          <w:rFonts w:ascii="Arial Narrow" w:hAnsi="Arial Narrow" w:cs="Arial"/>
          <w:sz w:val="24"/>
          <w:szCs w:val="24"/>
        </w:rPr>
        <w:t xml:space="preserve"> 145 tuvo un ICP de 97.55</w:t>
      </w:r>
      <w:r w:rsidRPr="00CD728B">
        <w:rPr>
          <w:rFonts w:ascii="Arial Narrow" w:hAnsi="Arial Narrow" w:cs="Arial"/>
          <w:sz w:val="24"/>
          <w:szCs w:val="24"/>
        </w:rPr>
        <w:t>%,</w:t>
      </w:r>
      <w:r w:rsidR="003250DC" w:rsidRPr="003250DC">
        <w:rPr>
          <w:rFonts w:ascii="Arial Narrow" w:hAnsi="Arial Narrow" w:cs="Arial"/>
          <w:sz w:val="24"/>
          <w:szCs w:val="24"/>
        </w:rPr>
        <w:t xml:space="preserve"> </w:t>
      </w:r>
      <w:r w:rsidR="003250DC" w:rsidRPr="00CD728B">
        <w:rPr>
          <w:rFonts w:ascii="Arial Narrow" w:hAnsi="Arial Narrow" w:cs="Arial"/>
          <w:sz w:val="24"/>
          <w:szCs w:val="24"/>
        </w:rPr>
        <w:t xml:space="preserve">el 143 obtuvo </w:t>
      </w:r>
      <w:r w:rsidR="003250DC">
        <w:rPr>
          <w:rFonts w:ascii="Arial Narrow" w:hAnsi="Arial Narrow" w:cs="Arial"/>
          <w:sz w:val="24"/>
          <w:szCs w:val="24"/>
        </w:rPr>
        <w:t>ICP</w:t>
      </w:r>
      <w:r w:rsidR="003250DC" w:rsidRPr="00CD728B">
        <w:rPr>
          <w:rFonts w:ascii="Arial Narrow" w:hAnsi="Arial Narrow" w:cs="Arial"/>
          <w:sz w:val="24"/>
          <w:szCs w:val="24"/>
        </w:rPr>
        <w:t xml:space="preserve"> de </w:t>
      </w:r>
      <w:r w:rsidR="003250DC">
        <w:rPr>
          <w:rFonts w:ascii="Arial Narrow" w:hAnsi="Arial Narrow" w:cs="Arial"/>
          <w:sz w:val="24"/>
          <w:szCs w:val="24"/>
        </w:rPr>
        <w:t>85.54</w:t>
      </w:r>
      <w:r w:rsidR="003250DC" w:rsidRPr="00CD728B">
        <w:rPr>
          <w:rFonts w:ascii="Arial Narrow" w:hAnsi="Arial Narrow" w:cs="Arial"/>
          <w:sz w:val="24"/>
          <w:szCs w:val="24"/>
        </w:rPr>
        <w:t xml:space="preserve">%, </w:t>
      </w:r>
      <w:r w:rsidRPr="00CD728B">
        <w:rPr>
          <w:rFonts w:ascii="Arial Narrow" w:hAnsi="Arial Narrow" w:cs="Arial"/>
          <w:sz w:val="24"/>
          <w:szCs w:val="24"/>
        </w:rPr>
        <w:t xml:space="preserve"> el 122</w:t>
      </w:r>
      <w:r w:rsidR="003A57A0">
        <w:rPr>
          <w:rFonts w:ascii="Arial Narrow" w:hAnsi="Arial Narrow" w:cs="Arial"/>
          <w:sz w:val="24"/>
          <w:szCs w:val="24"/>
        </w:rPr>
        <w:t xml:space="preserve"> de 67.80%, el 147 de 67.42%, </w:t>
      </w:r>
      <w:r w:rsidRPr="00CD728B">
        <w:rPr>
          <w:rFonts w:ascii="Arial Narrow" w:hAnsi="Arial Narrow" w:cs="Arial"/>
          <w:sz w:val="24"/>
          <w:szCs w:val="24"/>
        </w:rPr>
        <w:t xml:space="preserve">el 121 alcanzó 64.66%, el 124 de 60.12% y por último el 146 incumplió parcialmente con un ICP de 12.75%. </w:t>
      </w:r>
    </w:p>
    <w:p w:rsidR="00940CBA" w:rsidRPr="00CD728B" w:rsidRDefault="00940CBA" w:rsidP="002E7D47">
      <w:pPr>
        <w:pStyle w:val="Ttulo3"/>
        <w:numPr>
          <w:ilvl w:val="2"/>
          <w:numId w:val="21"/>
        </w:numPr>
        <w:contextualSpacing/>
        <w:jc w:val="both"/>
        <w:rPr>
          <w:rFonts w:ascii="Arial Narrow" w:hAnsi="Arial Narrow"/>
          <w:b/>
          <w:color w:val="auto"/>
        </w:rPr>
      </w:pPr>
      <w:bookmarkStart w:id="39" w:name="_Toc14293740"/>
      <w:r w:rsidRPr="00CD728B">
        <w:rPr>
          <w:rFonts w:ascii="Arial Narrow" w:hAnsi="Arial Narrow"/>
          <w:b/>
          <w:color w:val="auto"/>
        </w:rPr>
        <w:lastRenderedPageBreak/>
        <w:t xml:space="preserve">Análisis del </w:t>
      </w:r>
      <w:r w:rsidR="009D7771">
        <w:rPr>
          <w:rFonts w:ascii="Arial Narrow" w:hAnsi="Arial Narrow"/>
          <w:b/>
          <w:color w:val="auto"/>
        </w:rPr>
        <w:t>Artículo</w:t>
      </w:r>
      <w:r w:rsidRPr="00CD728B">
        <w:rPr>
          <w:rFonts w:ascii="Arial Narrow" w:hAnsi="Arial Narrow"/>
          <w:b/>
          <w:color w:val="auto"/>
        </w:rPr>
        <w:t xml:space="preserve"> 121 y sus respectivas fracciones</w:t>
      </w:r>
      <w:bookmarkEnd w:id="39"/>
    </w:p>
    <w:p w:rsidR="00940CBA" w:rsidRPr="00CD728B" w:rsidRDefault="00940CBA"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noProof/>
          <w:sz w:val="24"/>
          <w:szCs w:val="24"/>
          <w:lang w:val="es-MX" w:eastAsia="es-MX"/>
        </w:rPr>
        <w:drawing>
          <wp:inline distT="0" distB="0" distL="0" distR="0" wp14:anchorId="199F155F" wp14:editId="07039869">
            <wp:extent cx="4914900" cy="291465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hatsApp Image 2019-07-02 at 3.11.08 PM.jpeg"/>
                    <pic:cNvPicPr/>
                  </pic:nvPicPr>
                  <pic:blipFill>
                    <a:blip r:embed="rId22">
                      <a:extLst>
                        <a:ext uri="{28A0092B-C50C-407E-A947-70E740481C1C}">
                          <a14:useLocalDpi xmlns:a14="http://schemas.microsoft.com/office/drawing/2010/main" val="0"/>
                        </a:ext>
                      </a:extLst>
                    </a:blip>
                    <a:stretch>
                      <a:fillRect/>
                    </a:stretch>
                  </pic:blipFill>
                  <pic:spPr>
                    <a:xfrm>
                      <a:off x="0" y="0"/>
                      <a:ext cx="4914900" cy="2914650"/>
                    </a:xfrm>
                    <a:prstGeom prst="rect">
                      <a:avLst/>
                    </a:prstGeom>
                  </pic:spPr>
                </pic:pic>
              </a:graphicData>
            </a:graphic>
          </wp:inline>
        </w:drawing>
      </w:r>
    </w:p>
    <w:p w:rsidR="00D2376D" w:rsidRPr="00CD728B" w:rsidRDefault="00D2376D" w:rsidP="002E7D47">
      <w:pPr>
        <w:spacing w:before="100" w:beforeAutospacing="1" w:after="100" w:afterAutospacing="1" w:line="360" w:lineRule="auto"/>
        <w:contextualSpacing/>
        <w:jc w:val="both"/>
        <w:rPr>
          <w:rFonts w:ascii="Arial Narrow" w:hAnsi="Arial Narrow" w:cs="Arial"/>
          <w:sz w:val="24"/>
          <w:szCs w:val="24"/>
        </w:rPr>
      </w:pPr>
    </w:p>
    <w:p w:rsidR="00940CBA" w:rsidRPr="00CD728B" w:rsidRDefault="00940CBA"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 xml:space="preserve">Los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de las delegaciones obtuvieron un ICP en este </w:t>
      </w:r>
      <w:r w:rsidR="009D7771">
        <w:rPr>
          <w:rFonts w:ascii="Arial Narrow" w:hAnsi="Arial Narrow" w:cs="Arial"/>
          <w:sz w:val="24"/>
          <w:szCs w:val="24"/>
        </w:rPr>
        <w:t>Artículo</w:t>
      </w:r>
      <w:r w:rsidRPr="00CD728B">
        <w:rPr>
          <w:rFonts w:ascii="Arial Narrow" w:hAnsi="Arial Narrow" w:cs="Arial"/>
          <w:sz w:val="24"/>
          <w:szCs w:val="24"/>
        </w:rPr>
        <w:t xml:space="preserve"> de 64.66%; por lo que se encuentra dentro del área de cumplimiento parcial. Las tres fracciones con mayor área de oportunidad, ya que se colocaron en un incumplimiento parcial entre 52.60% y 58.88%, son las siguientes: </w:t>
      </w:r>
    </w:p>
    <w:p w:rsidR="00940CBA" w:rsidRPr="00CD728B" w:rsidRDefault="00940CBA" w:rsidP="002E7D47">
      <w:pPr>
        <w:pStyle w:val="Prrafodelista"/>
        <w:numPr>
          <w:ilvl w:val="0"/>
          <w:numId w:val="2"/>
        </w:numPr>
        <w:spacing w:before="100" w:beforeAutospacing="1" w:after="100" w:afterAutospacing="1" w:line="360" w:lineRule="auto"/>
        <w:jc w:val="both"/>
        <w:rPr>
          <w:rFonts w:ascii="Arial Narrow" w:hAnsi="Arial Narrow" w:cs="Arial"/>
          <w:sz w:val="24"/>
          <w:szCs w:val="24"/>
        </w:rPr>
      </w:pPr>
      <w:r w:rsidRPr="00CD728B">
        <w:rPr>
          <w:rFonts w:ascii="Arial Narrow" w:hAnsi="Arial Narrow" w:cs="Arial"/>
          <w:sz w:val="24"/>
          <w:szCs w:val="24"/>
        </w:rPr>
        <w:t xml:space="preserve">Fracción LII, con un ICP de 52.60% en la cual se solicita publicar cualquier otra información que sea de utilidad o se considere relevante para el conocimiento y evaluación de las funciones y políticas públicas que son responsabilidad del </w:t>
      </w:r>
      <w:r w:rsidR="005A4A11" w:rsidRPr="00CD728B">
        <w:rPr>
          <w:rFonts w:ascii="Arial Narrow" w:hAnsi="Arial Narrow" w:cs="Arial"/>
          <w:sz w:val="24"/>
          <w:szCs w:val="24"/>
        </w:rPr>
        <w:t>Sujeto Obligado</w:t>
      </w:r>
      <w:r w:rsidRPr="00CD728B">
        <w:rPr>
          <w:rFonts w:ascii="Arial Narrow" w:hAnsi="Arial Narrow" w:cs="Arial"/>
          <w:sz w:val="24"/>
          <w:szCs w:val="24"/>
        </w:rPr>
        <w:t xml:space="preserve"> además de las que, con base en la información estadística, respondan a las preguntas hechas con más frecuencia por el público. Los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no actualizaron la información conforme indica la normatividad vigente; por lo que no se puede consultar.</w:t>
      </w:r>
    </w:p>
    <w:p w:rsidR="00D2376D" w:rsidRPr="00CD728B" w:rsidRDefault="00D2376D" w:rsidP="00D2376D">
      <w:pPr>
        <w:pStyle w:val="Prrafodelista"/>
        <w:spacing w:before="100" w:beforeAutospacing="1" w:after="100" w:afterAutospacing="1" w:line="360" w:lineRule="auto"/>
        <w:jc w:val="both"/>
        <w:rPr>
          <w:rFonts w:ascii="Arial Narrow" w:hAnsi="Arial Narrow" w:cs="Arial"/>
          <w:sz w:val="24"/>
          <w:szCs w:val="24"/>
        </w:rPr>
      </w:pPr>
    </w:p>
    <w:p w:rsidR="00D2376D" w:rsidRPr="00CD728B" w:rsidRDefault="00940CBA" w:rsidP="00D2376D">
      <w:pPr>
        <w:pStyle w:val="Prrafodelista"/>
        <w:numPr>
          <w:ilvl w:val="0"/>
          <w:numId w:val="2"/>
        </w:numPr>
        <w:spacing w:before="100" w:beforeAutospacing="1" w:after="100" w:afterAutospacing="1" w:line="360" w:lineRule="auto"/>
        <w:jc w:val="both"/>
        <w:rPr>
          <w:rFonts w:ascii="Arial Narrow" w:hAnsi="Arial Narrow" w:cs="Arial"/>
          <w:sz w:val="24"/>
          <w:szCs w:val="24"/>
        </w:rPr>
      </w:pPr>
      <w:r w:rsidRPr="00CD728B">
        <w:rPr>
          <w:rFonts w:ascii="Arial Narrow" w:hAnsi="Arial Narrow" w:cs="Arial"/>
          <w:sz w:val="24"/>
          <w:szCs w:val="24"/>
        </w:rPr>
        <w:lastRenderedPageBreak/>
        <w:t xml:space="preserve">Fracción XLVII, con un ICP de 55.13% en la que se establece publicar los ingresos recibidos por cualquier concepto señalando el nombre de los responsables de recibirlos, administrarlos y ejercerlos, así como su destino. Los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no actualizaron la información conforme indica la normatividad vigente y en algunos casos no se tuvo acceso a sus formatos de Excel por lo que no se encuentra la información para consulta de las personas. </w:t>
      </w:r>
    </w:p>
    <w:p w:rsidR="00D2376D" w:rsidRPr="00CD728B" w:rsidRDefault="00D2376D" w:rsidP="00D2376D">
      <w:pPr>
        <w:pStyle w:val="Prrafodelista"/>
        <w:spacing w:before="100" w:beforeAutospacing="1" w:after="100" w:afterAutospacing="1" w:line="360" w:lineRule="auto"/>
        <w:jc w:val="both"/>
        <w:rPr>
          <w:rFonts w:ascii="Arial Narrow" w:hAnsi="Arial Narrow" w:cs="Arial"/>
          <w:sz w:val="24"/>
          <w:szCs w:val="24"/>
        </w:rPr>
      </w:pPr>
    </w:p>
    <w:p w:rsidR="00D2376D" w:rsidRPr="00CD728B" w:rsidRDefault="00940CBA" w:rsidP="00D2376D">
      <w:pPr>
        <w:pStyle w:val="Prrafodelista"/>
        <w:numPr>
          <w:ilvl w:val="0"/>
          <w:numId w:val="2"/>
        </w:numPr>
        <w:spacing w:before="100" w:beforeAutospacing="1" w:after="100" w:afterAutospacing="1" w:line="360" w:lineRule="auto"/>
        <w:jc w:val="both"/>
        <w:rPr>
          <w:rFonts w:ascii="Arial Narrow" w:hAnsi="Arial Narrow" w:cs="Arial"/>
          <w:sz w:val="24"/>
          <w:szCs w:val="24"/>
        </w:rPr>
      </w:pPr>
      <w:r w:rsidRPr="00CD728B">
        <w:rPr>
          <w:rFonts w:ascii="Arial Narrow" w:hAnsi="Arial Narrow" w:cs="Arial"/>
          <w:sz w:val="24"/>
          <w:szCs w:val="24"/>
        </w:rPr>
        <w:t>F</w:t>
      </w:r>
      <w:r w:rsidR="00475941" w:rsidRPr="00CD728B">
        <w:rPr>
          <w:rFonts w:ascii="Arial Narrow" w:hAnsi="Arial Narrow" w:cs="Arial"/>
          <w:sz w:val="24"/>
          <w:szCs w:val="24"/>
        </w:rPr>
        <w:t>racción XX, con un ICP de 58.88</w:t>
      </w:r>
      <w:r w:rsidRPr="00CD728B">
        <w:rPr>
          <w:rFonts w:ascii="Arial Narrow" w:hAnsi="Arial Narrow" w:cs="Arial"/>
          <w:sz w:val="24"/>
          <w:szCs w:val="24"/>
        </w:rPr>
        <w:t xml:space="preserve">% consistente en la publicación de los trámites, requisitos y formatos que ofrece el </w:t>
      </w:r>
      <w:r w:rsidR="005A4A11" w:rsidRPr="00CD728B">
        <w:rPr>
          <w:rFonts w:ascii="Arial Narrow" w:hAnsi="Arial Narrow" w:cs="Arial"/>
          <w:sz w:val="24"/>
          <w:szCs w:val="24"/>
        </w:rPr>
        <w:t>Sujeto Obligado</w:t>
      </w:r>
      <w:r w:rsidRPr="00CD728B">
        <w:rPr>
          <w:rFonts w:ascii="Arial Narrow" w:hAnsi="Arial Narrow" w:cs="Arial"/>
          <w:sz w:val="24"/>
          <w:szCs w:val="24"/>
        </w:rPr>
        <w:t>. Estos no actualizaron la información conforme indica la normatividad vigente y algunos hipervínculos están rotos, por lo que no se puede consultar.</w:t>
      </w:r>
    </w:p>
    <w:p w:rsidR="00D2376D" w:rsidRPr="00CD728B" w:rsidRDefault="00D2376D" w:rsidP="00D2376D">
      <w:pPr>
        <w:pStyle w:val="Prrafodelista"/>
        <w:spacing w:before="100" w:beforeAutospacing="1" w:after="100" w:afterAutospacing="1" w:line="360" w:lineRule="auto"/>
        <w:jc w:val="both"/>
        <w:rPr>
          <w:rFonts w:ascii="Arial Narrow" w:hAnsi="Arial Narrow" w:cs="Arial"/>
          <w:sz w:val="24"/>
          <w:szCs w:val="24"/>
        </w:rPr>
      </w:pPr>
    </w:p>
    <w:p w:rsidR="00940CBA" w:rsidRPr="00CD728B" w:rsidRDefault="00940CBA"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De igual forma, las tres fracciones con un ICP ubicadas en el rango de 81.72% a 82.47% son las que se detallan a continuación:</w:t>
      </w:r>
    </w:p>
    <w:p w:rsidR="00940CBA" w:rsidRPr="00CD728B" w:rsidRDefault="00940CBA" w:rsidP="002E7D47">
      <w:pPr>
        <w:pStyle w:val="Prrafodelista"/>
        <w:numPr>
          <w:ilvl w:val="0"/>
          <w:numId w:val="3"/>
        </w:numPr>
        <w:spacing w:before="100" w:beforeAutospacing="1" w:after="100" w:afterAutospacing="1" w:line="360" w:lineRule="auto"/>
        <w:jc w:val="both"/>
        <w:rPr>
          <w:rFonts w:ascii="Arial Narrow" w:hAnsi="Arial Narrow" w:cs="Arial"/>
          <w:sz w:val="24"/>
          <w:szCs w:val="24"/>
        </w:rPr>
      </w:pPr>
      <w:r w:rsidRPr="00CD728B">
        <w:rPr>
          <w:rFonts w:ascii="Arial Narrow" w:hAnsi="Arial Narrow" w:cs="Arial"/>
          <w:sz w:val="24"/>
          <w:szCs w:val="24"/>
        </w:rPr>
        <w:t>Fracción XXIX, obtuvo un ICP de 81.72% consistente en las concesiones, contratos, convenios, permisos, licencias o autorizaciones otorgadas especificando los titulares de aquellos, debiendo publicar</w:t>
      </w:r>
      <w:r w:rsidR="00475941" w:rsidRPr="00CD728B">
        <w:rPr>
          <w:rFonts w:ascii="Arial Narrow" w:hAnsi="Arial Narrow" w:cs="Arial"/>
          <w:sz w:val="24"/>
          <w:szCs w:val="24"/>
        </w:rPr>
        <w:t>se su</w:t>
      </w:r>
      <w:r w:rsidRPr="00CD728B">
        <w:rPr>
          <w:rFonts w:ascii="Arial Narrow" w:hAnsi="Arial Narrow" w:cs="Arial"/>
          <w:sz w:val="24"/>
          <w:szCs w:val="24"/>
        </w:rPr>
        <w:t xml:space="preserve"> objetivo, nombre o razón social del titular, vigencia, tipo, términos, condiciones, monto y modificaciones, así como si el procedimiento involucra el aprovechamiento de bienes, servicios y/o recursos públicos. En este caso, los errores más comunes identificados fueron la no actualización de la información conforme indica la normatividad vigente y la ausencia de ésta sin leyenda fundamentada. </w:t>
      </w:r>
    </w:p>
    <w:p w:rsidR="00D2376D" w:rsidRPr="00CD728B" w:rsidRDefault="00D2376D" w:rsidP="00D2376D">
      <w:pPr>
        <w:pStyle w:val="Prrafodelista"/>
        <w:spacing w:before="100" w:beforeAutospacing="1" w:after="100" w:afterAutospacing="1" w:line="360" w:lineRule="auto"/>
        <w:jc w:val="both"/>
        <w:rPr>
          <w:rFonts w:ascii="Arial Narrow" w:hAnsi="Arial Narrow" w:cs="Arial"/>
          <w:sz w:val="24"/>
          <w:szCs w:val="24"/>
        </w:rPr>
      </w:pPr>
    </w:p>
    <w:p w:rsidR="00D2376D" w:rsidRPr="00CD728B" w:rsidRDefault="00940CBA" w:rsidP="00D2376D">
      <w:pPr>
        <w:pStyle w:val="Prrafodelista"/>
        <w:numPr>
          <w:ilvl w:val="0"/>
          <w:numId w:val="3"/>
        </w:numPr>
        <w:spacing w:before="100" w:beforeAutospacing="1" w:after="100" w:afterAutospacing="1" w:line="360" w:lineRule="auto"/>
        <w:jc w:val="both"/>
        <w:rPr>
          <w:rFonts w:ascii="Arial Narrow" w:hAnsi="Arial Narrow" w:cs="Arial"/>
          <w:sz w:val="24"/>
          <w:szCs w:val="24"/>
        </w:rPr>
      </w:pPr>
      <w:r w:rsidRPr="00CD728B">
        <w:rPr>
          <w:rFonts w:ascii="Arial Narrow" w:hAnsi="Arial Narrow" w:cs="Arial"/>
          <w:sz w:val="24"/>
          <w:szCs w:val="24"/>
        </w:rPr>
        <w:t xml:space="preserve">Fracción L, obtuvo un ICP de 82.18% respecto de la publicación de la calendarización, las minutas y las actas de las reuniones públicas de los diversos consejos, órganos colegiados, gabinetes, sesiones plenarias, comités, comisiones y sesiones de trabajo que convoquen los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en el ámbito de su competencia; en los que, se deberán difundir las minutas o las actas de las reuniones y sesiones, así como las listas de los integrantes de cada uno de </w:t>
      </w:r>
      <w:r w:rsidRPr="00CD728B">
        <w:rPr>
          <w:rFonts w:ascii="Arial Narrow" w:hAnsi="Arial Narrow" w:cs="Arial"/>
          <w:sz w:val="24"/>
          <w:szCs w:val="24"/>
        </w:rPr>
        <w:lastRenderedPageBreak/>
        <w:t>los órganos colegiados. En este caso los errores más comunes identificados fueron la desactualización de la información conforme indica la normatividad vigente y la falta de acceso a los hipervínculos correspondientes, en otros casos, se identificó qu</w:t>
      </w:r>
      <w:r w:rsidR="00D2376D" w:rsidRPr="00CD728B">
        <w:rPr>
          <w:rFonts w:ascii="Arial Narrow" w:hAnsi="Arial Narrow" w:cs="Arial"/>
          <w:sz w:val="24"/>
          <w:szCs w:val="24"/>
        </w:rPr>
        <w:t>e no publicaron la información.</w:t>
      </w:r>
    </w:p>
    <w:p w:rsidR="00D2376D" w:rsidRPr="00CD728B" w:rsidRDefault="00D2376D" w:rsidP="00D2376D">
      <w:pPr>
        <w:pStyle w:val="Prrafodelista"/>
        <w:spacing w:before="100" w:beforeAutospacing="1" w:after="100" w:afterAutospacing="1" w:line="360" w:lineRule="auto"/>
        <w:jc w:val="both"/>
        <w:rPr>
          <w:rFonts w:ascii="Arial Narrow" w:hAnsi="Arial Narrow" w:cs="Arial"/>
          <w:sz w:val="24"/>
          <w:szCs w:val="24"/>
        </w:rPr>
      </w:pPr>
    </w:p>
    <w:p w:rsidR="00D2376D" w:rsidRPr="00CD728B" w:rsidRDefault="00940CBA" w:rsidP="00D2376D">
      <w:pPr>
        <w:pStyle w:val="Prrafodelista"/>
        <w:numPr>
          <w:ilvl w:val="0"/>
          <w:numId w:val="3"/>
        </w:numPr>
        <w:spacing w:before="100" w:beforeAutospacing="1" w:after="100" w:afterAutospacing="1" w:line="360" w:lineRule="auto"/>
        <w:jc w:val="both"/>
        <w:rPr>
          <w:rFonts w:ascii="Arial Narrow" w:hAnsi="Arial Narrow" w:cs="Arial"/>
          <w:sz w:val="24"/>
          <w:szCs w:val="24"/>
        </w:rPr>
      </w:pPr>
      <w:r w:rsidRPr="00CD728B">
        <w:rPr>
          <w:rFonts w:ascii="Arial Narrow" w:hAnsi="Arial Narrow" w:cs="Arial"/>
          <w:sz w:val="24"/>
          <w:szCs w:val="24"/>
        </w:rPr>
        <w:t xml:space="preserve">Fracción XXXIV, obtuvo un ICP de 82.47% respecto de la publicación del padrón de proveedores y contratistas. En este caso, los errores más comunes identificados fueron la desactualización de la información conforme indica la normatividad vigente, en otros casos, se identificó que no publicaron la información. </w:t>
      </w:r>
    </w:p>
    <w:p w:rsidR="00D2376D" w:rsidRPr="00CD728B" w:rsidRDefault="00D2376D" w:rsidP="00D2376D">
      <w:pPr>
        <w:pStyle w:val="Prrafodelista"/>
        <w:spacing w:before="100" w:beforeAutospacing="1" w:after="100" w:afterAutospacing="1" w:line="360" w:lineRule="auto"/>
        <w:jc w:val="both"/>
        <w:rPr>
          <w:rFonts w:ascii="Arial Narrow" w:hAnsi="Arial Narrow" w:cs="Arial"/>
          <w:sz w:val="24"/>
          <w:szCs w:val="24"/>
        </w:rPr>
      </w:pPr>
    </w:p>
    <w:p w:rsidR="00940CBA" w:rsidRPr="00CD728B" w:rsidRDefault="00940CBA" w:rsidP="002E7D47">
      <w:pPr>
        <w:pStyle w:val="Ttulo3"/>
        <w:numPr>
          <w:ilvl w:val="2"/>
          <w:numId w:val="21"/>
        </w:numPr>
        <w:contextualSpacing/>
        <w:jc w:val="both"/>
        <w:rPr>
          <w:rFonts w:ascii="Arial Narrow" w:hAnsi="Arial Narrow"/>
          <w:b/>
          <w:color w:val="auto"/>
        </w:rPr>
      </w:pPr>
      <w:bookmarkStart w:id="40" w:name="_Toc14293741"/>
      <w:r w:rsidRPr="00CD728B">
        <w:rPr>
          <w:rFonts w:ascii="Arial Narrow" w:hAnsi="Arial Narrow"/>
          <w:b/>
          <w:color w:val="auto"/>
        </w:rPr>
        <w:t xml:space="preserve">Análisis del </w:t>
      </w:r>
      <w:r w:rsidR="009D7771">
        <w:rPr>
          <w:rFonts w:ascii="Arial Narrow" w:hAnsi="Arial Narrow"/>
          <w:b/>
          <w:color w:val="auto"/>
        </w:rPr>
        <w:t>Artículo</w:t>
      </w:r>
      <w:r w:rsidRPr="00CD728B">
        <w:rPr>
          <w:rFonts w:ascii="Arial Narrow" w:hAnsi="Arial Narrow"/>
          <w:b/>
          <w:color w:val="auto"/>
        </w:rPr>
        <w:t xml:space="preserve"> 122 y sus respectivas fracciones</w:t>
      </w:r>
      <w:bookmarkEnd w:id="40"/>
    </w:p>
    <w:p w:rsidR="00940CBA" w:rsidRPr="00CD728B" w:rsidRDefault="00940CBA" w:rsidP="002E7D47">
      <w:pPr>
        <w:spacing w:before="100" w:beforeAutospacing="1" w:after="100" w:afterAutospacing="1" w:line="360" w:lineRule="auto"/>
        <w:contextualSpacing/>
        <w:jc w:val="both"/>
        <w:rPr>
          <w:rFonts w:ascii="Arial Narrow" w:hAnsi="Arial Narrow" w:cs="Arial"/>
          <w:b/>
          <w:bCs/>
          <w:sz w:val="24"/>
          <w:szCs w:val="24"/>
        </w:rPr>
      </w:pPr>
      <w:r w:rsidRPr="00CD728B">
        <w:rPr>
          <w:rFonts w:ascii="Arial Narrow" w:hAnsi="Arial Narrow" w:cs="Arial"/>
          <w:b/>
          <w:bCs/>
          <w:noProof/>
          <w:sz w:val="24"/>
          <w:szCs w:val="24"/>
          <w:lang w:val="es-MX" w:eastAsia="es-MX"/>
        </w:rPr>
        <w:drawing>
          <wp:inline distT="0" distB="0" distL="0" distR="0" wp14:anchorId="2FFA9EC8" wp14:editId="3CAA1FB2">
            <wp:extent cx="5324475" cy="2990850"/>
            <wp:effectExtent l="0" t="0" r="952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hatsApp Image 2019-07-02 at 3.13.00 PM.jpeg"/>
                    <pic:cNvPicPr/>
                  </pic:nvPicPr>
                  <pic:blipFill>
                    <a:blip r:embed="rId23">
                      <a:extLst>
                        <a:ext uri="{28A0092B-C50C-407E-A947-70E740481C1C}">
                          <a14:useLocalDpi xmlns:a14="http://schemas.microsoft.com/office/drawing/2010/main" val="0"/>
                        </a:ext>
                      </a:extLst>
                    </a:blip>
                    <a:stretch>
                      <a:fillRect/>
                    </a:stretch>
                  </pic:blipFill>
                  <pic:spPr>
                    <a:xfrm>
                      <a:off x="0" y="0"/>
                      <a:ext cx="5324475" cy="2990850"/>
                    </a:xfrm>
                    <a:prstGeom prst="rect">
                      <a:avLst/>
                    </a:prstGeom>
                  </pic:spPr>
                </pic:pic>
              </a:graphicData>
            </a:graphic>
          </wp:inline>
        </w:drawing>
      </w:r>
    </w:p>
    <w:p w:rsidR="00D2376D" w:rsidRPr="00CD728B" w:rsidRDefault="00D2376D" w:rsidP="002E7D47">
      <w:pPr>
        <w:spacing w:before="100" w:beforeAutospacing="1" w:after="100" w:afterAutospacing="1" w:line="360" w:lineRule="auto"/>
        <w:contextualSpacing/>
        <w:jc w:val="both"/>
        <w:rPr>
          <w:rFonts w:ascii="Arial Narrow" w:hAnsi="Arial Narrow" w:cs="Arial"/>
          <w:sz w:val="24"/>
          <w:szCs w:val="24"/>
        </w:rPr>
      </w:pPr>
    </w:p>
    <w:p w:rsidR="0074778D" w:rsidRPr="00CD728B" w:rsidRDefault="0074778D"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lastRenderedPageBreak/>
        <w:t xml:space="preserve">Los Sujetos Obligados de las delegaciones obtuvieron un ICP de 67.80%; por lo que se encuentra dentro del área de cumplimiento parcial. Las fracciones I, II y III obtuvieron un ICP de 71.69%, 73.02% y 74.22% respectivamente, colocándose en un cumplimiento parcial. </w:t>
      </w:r>
    </w:p>
    <w:p w:rsidR="00D2376D" w:rsidRPr="00CD728B" w:rsidRDefault="00D2376D" w:rsidP="002E7D47">
      <w:pPr>
        <w:spacing w:before="100" w:beforeAutospacing="1" w:after="100" w:afterAutospacing="1" w:line="360" w:lineRule="auto"/>
        <w:contextualSpacing/>
        <w:jc w:val="both"/>
        <w:rPr>
          <w:rFonts w:ascii="Arial Narrow" w:hAnsi="Arial Narrow" w:cs="Arial"/>
          <w:sz w:val="24"/>
          <w:szCs w:val="24"/>
        </w:rPr>
      </w:pPr>
    </w:p>
    <w:p w:rsidR="00940CBA" w:rsidRPr="00CD728B" w:rsidRDefault="0074778D"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 xml:space="preserve">Los errores que cometieron los Sujetos Obligados con mayor frecuencia fueron los siguientes: no actualizaron la información conforme indica la normatividad vigente, ni se tuvo acceso a los hipervínculos que publicaron. </w:t>
      </w:r>
    </w:p>
    <w:p w:rsidR="00D2376D" w:rsidRPr="00CD728B" w:rsidRDefault="00D2376D" w:rsidP="002E7D47">
      <w:pPr>
        <w:spacing w:before="100" w:beforeAutospacing="1" w:after="100" w:afterAutospacing="1" w:line="360" w:lineRule="auto"/>
        <w:contextualSpacing/>
        <w:jc w:val="both"/>
        <w:rPr>
          <w:rFonts w:ascii="Arial Narrow" w:hAnsi="Arial Narrow" w:cs="Arial"/>
          <w:sz w:val="24"/>
          <w:szCs w:val="24"/>
        </w:rPr>
      </w:pPr>
    </w:p>
    <w:p w:rsidR="0017655F" w:rsidRPr="00CD728B" w:rsidRDefault="00940CBA"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 xml:space="preserve">Por otra parte, los errores que cometieron los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con mayor frecuencia fueron los siguientes: no actualizaron la información conforme indica la normatividad vigente, ni se tuvo acceso a los hipervínculos que publicaron. </w:t>
      </w:r>
      <w:r w:rsidR="00475941" w:rsidRPr="00CD728B">
        <w:rPr>
          <w:rFonts w:ascii="Arial Narrow" w:hAnsi="Arial Narrow" w:cs="Arial"/>
          <w:sz w:val="24"/>
          <w:szCs w:val="24"/>
        </w:rPr>
        <w:t>Además</w:t>
      </w:r>
      <w:r w:rsidRPr="00CD728B">
        <w:rPr>
          <w:rFonts w:ascii="Arial Narrow" w:hAnsi="Arial Narrow" w:cs="Arial"/>
          <w:sz w:val="24"/>
          <w:szCs w:val="24"/>
        </w:rPr>
        <w:t>, en algunos casos indicaron erróneamente la no aplicabilidad, por lo que deberán revisar los lineamientos, estudiar el caso y publicar la información solicitada o transcribir la leyenda “no se generó información” con su debida motivación y fundamentación.</w:t>
      </w:r>
    </w:p>
    <w:p w:rsidR="00D2376D" w:rsidRPr="00CD728B" w:rsidRDefault="00D2376D" w:rsidP="002E7D47">
      <w:pPr>
        <w:spacing w:before="100" w:beforeAutospacing="1" w:after="100" w:afterAutospacing="1" w:line="360" w:lineRule="auto"/>
        <w:contextualSpacing/>
        <w:jc w:val="both"/>
        <w:rPr>
          <w:rFonts w:ascii="Arial Narrow" w:hAnsi="Arial Narrow" w:cs="Arial"/>
          <w:sz w:val="24"/>
          <w:szCs w:val="24"/>
        </w:rPr>
      </w:pPr>
    </w:p>
    <w:p w:rsidR="00940CBA" w:rsidRPr="00CD728B" w:rsidRDefault="00940CBA" w:rsidP="002E7D47">
      <w:pPr>
        <w:pStyle w:val="Ttulo3"/>
        <w:numPr>
          <w:ilvl w:val="2"/>
          <w:numId w:val="21"/>
        </w:numPr>
        <w:contextualSpacing/>
        <w:jc w:val="both"/>
        <w:rPr>
          <w:rFonts w:ascii="Arial Narrow" w:hAnsi="Arial Narrow"/>
          <w:b/>
          <w:color w:val="auto"/>
        </w:rPr>
      </w:pPr>
      <w:bookmarkStart w:id="41" w:name="_Toc14293742"/>
      <w:r w:rsidRPr="00CD728B">
        <w:rPr>
          <w:rFonts w:ascii="Arial Narrow" w:hAnsi="Arial Narrow"/>
          <w:b/>
          <w:color w:val="auto"/>
        </w:rPr>
        <w:lastRenderedPageBreak/>
        <w:t xml:space="preserve">Análisis del </w:t>
      </w:r>
      <w:r w:rsidR="009D7771">
        <w:rPr>
          <w:rFonts w:ascii="Arial Narrow" w:hAnsi="Arial Narrow"/>
          <w:b/>
          <w:color w:val="auto"/>
        </w:rPr>
        <w:t>Artículo</w:t>
      </w:r>
      <w:r w:rsidRPr="00CD728B">
        <w:rPr>
          <w:rFonts w:ascii="Arial Narrow" w:hAnsi="Arial Narrow"/>
          <w:b/>
          <w:color w:val="auto"/>
        </w:rPr>
        <w:t xml:space="preserve"> 124 y sus respectivas fracciones</w:t>
      </w:r>
      <w:bookmarkEnd w:id="41"/>
    </w:p>
    <w:p w:rsidR="00940CBA" w:rsidRPr="00CD728B" w:rsidRDefault="00940CBA" w:rsidP="002E7D47">
      <w:pPr>
        <w:spacing w:before="100" w:beforeAutospacing="1" w:after="100" w:afterAutospacing="1" w:line="360" w:lineRule="auto"/>
        <w:contextualSpacing/>
        <w:jc w:val="both"/>
        <w:rPr>
          <w:rFonts w:ascii="Arial Narrow" w:hAnsi="Arial Narrow" w:cs="Arial"/>
          <w:b/>
          <w:bCs/>
          <w:sz w:val="24"/>
          <w:szCs w:val="24"/>
        </w:rPr>
      </w:pPr>
      <w:r w:rsidRPr="00CD728B">
        <w:rPr>
          <w:rFonts w:ascii="Arial Narrow" w:hAnsi="Arial Narrow" w:cs="Arial"/>
          <w:b/>
          <w:bCs/>
          <w:noProof/>
          <w:sz w:val="24"/>
          <w:szCs w:val="24"/>
          <w:lang w:val="es-MX" w:eastAsia="es-MX"/>
        </w:rPr>
        <w:drawing>
          <wp:inline distT="0" distB="0" distL="0" distR="0" wp14:anchorId="658EBC9D" wp14:editId="2FE6C1C8">
            <wp:extent cx="4933950" cy="2962275"/>
            <wp:effectExtent l="0" t="0" r="0" b="952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hatsApp Image 2019-07-02 at 3.14.42 PM.jpeg"/>
                    <pic:cNvPicPr/>
                  </pic:nvPicPr>
                  <pic:blipFill>
                    <a:blip r:embed="rId24">
                      <a:extLst>
                        <a:ext uri="{28A0092B-C50C-407E-A947-70E740481C1C}">
                          <a14:useLocalDpi xmlns:a14="http://schemas.microsoft.com/office/drawing/2010/main" val="0"/>
                        </a:ext>
                      </a:extLst>
                    </a:blip>
                    <a:stretch>
                      <a:fillRect/>
                    </a:stretch>
                  </pic:blipFill>
                  <pic:spPr>
                    <a:xfrm>
                      <a:off x="0" y="0"/>
                      <a:ext cx="4933950" cy="2962275"/>
                    </a:xfrm>
                    <a:prstGeom prst="rect">
                      <a:avLst/>
                    </a:prstGeom>
                  </pic:spPr>
                </pic:pic>
              </a:graphicData>
            </a:graphic>
          </wp:inline>
        </w:drawing>
      </w:r>
    </w:p>
    <w:p w:rsidR="00D2376D" w:rsidRPr="00CD728B" w:rsidRDefault="00D2376D" w:rsidP="002E7D47">
      <w:pPr>
        <w:spacing w:before="100" w:beforeAutospacing="1" w:after="100" w:afterAutospacing="1" w:line="360" w:lineRule="auto"/>
        <w:contextualSpacing/>
        <w:jc w:val="both"/>
        <w:rPr>
          <w:rFonts w:ascii="Arial Narrow" w:hAnsi="Arial Narrow" w:cs="Arial"/>
          <w:sz w:val="24"/>
          <w:szCs w:val="24"/>
        </w:rPr>
      </w:pPr>
    </w:p>
    <w:p w:rsidR="00940CBA" w:rsidRPr="00CD728B" w:rsidRDefault="00940CBA"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 xml:space="preserve">Los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de las delegaciones obtuvieron un ICP de 60.12%; por lo que se encuentra dentro del área de cumplimiento parcial. Las cinco fracciones que tiene</w:t>
      </w:r>
      <w:r w:rsidR="00F52CAA" w:rsidRPr="00CD728B">
        <w:rPr>
          <w:rFonts w:ascii="Arial Narrow" w:hAnsi="Arial Narrow" w:cs="Arial"/>
          <w:sz w:val="24"/>
          <w:szCs w:val="24"/>
        </w:rPr>
        <w:t>n</w:t>
      </w:r>
      <w:r w:rsidRPr="00CD728B">
        <w:rPr>
          <w:rFonts w:ascii="Arial Narrow" w:hAnsi="Arial Narrow" w:cs="Arial"/>
          <w:sz w:val="24"/>
          <w:szCs w:val="24"/>
        </w:rPr>
        <w:t xml:space="preserve"> mayor área de oportunidad, ya que se colocaron en un incumplimiento parcial entre 47.66%  y 59.72 %  son las siguientes: </w:t>
      </w:r>
    </w:p>
    <w:p w:rsidR="00940CBA" w:rsidRPr="00CD728B" w:rsidRDefault="00940CBA" w:rsidP="002E7D47">
      <w:pPr>
        <w:pStyle w:val="Prrafodelista"/>
        <w:numPr>
          <w:ilvl w:val="0"/>
          <w:numId w:val="5"/>
        </w:numPr>
        <w:spacing w:before="100" w:beforeAutospacing="1" w:after="100" w:afterAutospacing="1" w:line="360" w:lineRule="auto"/>
        <w:jc w:val="both"/>
        <w:rPr>
          <w:rFonts w:ascii="Arial Narrow" w:hAnsi="Arial Narrow" w:cs="Arial"/>
          <w:sz w:val="24"/>
          <w:szCs w:val="24"/>
        </w:rPr>
      </w:pPr>
      <w:r w:rsidRPr="00CD728B">
        <w:rPr>
          <w:rFonts w:ascii="Arial Narrow" w:hAnsi="Arial Narrow" w:cs="Arial"/>
          <w:sz w:val="24"/>
          <w:szCs w:val="24"/>
        </w:rPr>
        <w:t>Fracció</w:t>
      </w:r>
      <w:r w:rsidR="003A57A0">
        <w:rPr>
          <w:rFonts w:ascii="Arial Narrow" w:hAnsi="Arial Narrow" w:cs="Arial"/>
          <w:sz w:val="24"/>
          <w:szCs w:val="24"/>
        </w:rPr>
        <w:t xml:space="preserve">n XXIV, </w:t>
      </w:r>
      <w:r w:rsidRPr="00CD728B">
        <w:rPr>
          <w:rFonts w:ascii="Arial Narrow" w:hAnsi="Arial Narrow" w:cs="Arial"/>
          <w:sz w:val="24"/>
          <w:szCs w:val="24"/>
        </w:rPr>
        <w:t xml:space="preserve">con un ICP de 47.66% consistente en el informe de labores presentado ante el Consejo Ciudadano Delegacional, los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no actualizaron la información conforme indica la normatividad vigente. </w:t>
      </w:r>
    </w:p>
    <w:p w:rsidR="00D2376D" w:rsidRPr="00CD728B" w:rsidRDefault="00D2376D" w:rsidP="00D2376D">
      <w:pPr>
        <w:pStyle w:val="Prrafodelista"/>
        <w:spacing w:before="100" w:beforeAutospacing="1" w:after="100" w:afterAutospacing="1" w:line="360" w:lineRule="auto"/>
        <w:jc w:val="both"/>
        <w:rPr>
          <w:rFonts w:ascii="Arial Narrow" w:hAnsi="Arial Narrow" w:cs="Arial"/>
          <w:sz w:val="24"/>
          <w:szCs w:val="24"/>
        </w:rPr>
      </w:pPr>
    </w:p>
    <w:p w:rsidR="00D2376D" w:rsidRPr="00CD728B" w:rsidRDefault="00940CBA" w:rsidP="00D2376D">
      <w:pPr>
        <w:pStyle w:val="Prrafodelista"/>
        <w:numPr>
          <w:ilvl w:val="0"/>
          <w:numId w:val="5"/>
        </w:numPr>
        <w:spacing w:before="100" w:beforeAutospacing="1" w:after="100" w:afterAutospacing="1" w:line="360" w:lineRule="auto"/>
        <w:jc w:val="both"/>
        <w:rPr>
          <w:rFonts w:ascii="Arial Narrow" w:hAnsi="Arial Narrow" w:cs="Arial"/>
          <w:sz w:val="24"/>
          <w:szCs w:val="24"/>
        </w:rPr>
      </w:pPr>
      <w:r w:rsidRPr="00CD728B">
        <w:rPr>
          <w:rFonts w:ascii="Arial Narrow" w:hAnsi="Arial Narrow" w:cs="Arial"/>
          <w:sz w:val="24"/>
          <w:szCs w:val="24"/>
        </w:rPr>
        <w:t>Fracción XV</w:t>
      </w:r>
      <w:r w:rsidR="003A57A0">
        <w:rPr>
          <w:rFonts w:ascii="Arial Narrow" w:hAnsi="Arial Narrow" w:cs="Arial"/>
          <w:sz w:val="24"/>
          <w:szCs w:val="24"/>
        </w:rPr>
        <w:t>,</w:t>
      </w:r>
      <w:r w:rsidRPr="00CD728B">
        <w:rPr>
          <w:rFonts w:ascii="Arial Narrow" w:hAnsi="Arial Narrow" w:cs="Arial"/>
          <w:sz w:val="24"/>
          <w:szCs w:val="24"/>
        </w:rPr>
        <w:t xml:space="preserve"> con un ICP de 48.09% consistente en el padrón con respecto de los giros mercantiles que funcionen en su jurisdicción y las licencias y autorizaciones otorgadas para el funcionamiento de los giros sujetos a las leyes y reglamentos aplicables, los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no actualizaron la información conforme indica la normatividad vigente.</w:t>
      </w:r>
    </w:p>
    <w:p w:rsidR="00D2376D" w:rsidRPr="00CD728B" w:rsidRDefault="00D2376D" w:rsidP="00D2376D">
      <w:pPr>
        <w:pStyle w:val="Prrafodelista"/>
        <w:spacing w:before="100" w:beforeAutospacing="1" w:after="100" w:afterAutospacing="1" w:line="360" w:lineRule="auto"/>
        <w:jc w:val="both"/>
        <w:rPr>
          <w:rFonts w:ascii="Arial Narrow" w:hAnsi="Arial Narrow" w:cs="Arial"/>
          <w:sz w:val="24"/>
          <w:szCs w:val="24"/>
        </w:rPr>
      </w:pPr>
    </w:p>
    <w:p w:rsidR="00D2376D" w:rsidRPr="00CD728B" w:rsidRDefault="00940CBA" w:rsidP="00D2376D">
      <w:pPr>
        <w:pStyle w:val="Prrafodelista"/>
        <w:numPr>
          <w:ilvl w:val="0"/>
          <w:numId w:val="5"/>
        </w:numPr>
        <w:spacing w:before="100" w:beforeAutospacing="1" w:after="100" w:afterAutospacing="1" w:line="360" w:lineRule="auto"/>
        <w:jc w:val="both"/>
        <w:rPr>
          <w:rFonts w:ascii="Arial Narrow" w:hAnsi="Arial Narrow" w:cs="Arial"/>
          <w:sz w:val="24"/>
          <w:szCs w:val="24"/>
        </w:rPr>
      </w:pPr>
      <w:r w:rsidRPr="00CD728B">
        <w:rPr>
          <w:rFonts w:ascii="Arial Narrow" w:hAnsi="Arial Narrow" w:cs="Arial"/>
          <w:sz w:val="24"/>
          <w:szCs w:val="24"/>
        </w:rPr>
        <w:lastRenderedPageBreak/>
        <w:t>Fracción II</w:t>
      </w:r>
      <w:r w:rsidR="003A57A0">
        <w:rPr>
          <w:rFonts w:ascii="Arial Narrow" w:hAnsi="Arial Narrow" w:cs="Arial"/>
          <w:sz w:val="24"/>
          <w:szCs w:val="24"/>
        </w:rPr>
        <w:t>,</w:t>
      </w:r>
      <w:r w:rsidRPr="00CD728B">
        <w:rPr>
          <w:rFonts w:ascii="Arial Narrow" w:hAnsi="Arial Narrow" w:cs="Arial"/>
          <w:sz w:val="24"/>
          <w:szCs w:val="24"/>
        </w:rPr>
        <w:t xml:space="preserve"> con un ICP de 52.25% respecto del calendario con las actividades culturales, deportivas y recreativas a realizar; así como el presupuesto y acciones para la rehabilitación y mantenimiento de su infraestructura; los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no actualizaron la información conforme indica la normatividad vigente. </w:t>
      </w:r>
    </w:p>
    <w:p w:rsidR="00D2376D" w:rsidRPr="00CD728B" w:rsidRDefault="00D2376D" w:rsidP="00D2376D">
      <w:pPr>
        <w:pStyle w:val="Prrafodelista"/>
        <w:spacing w:before="100" w:beforeAutospacing="1" w:after="100" w:afterAutospacing="1" w:line="360" w:lineRule="auto"/>
        <w:jc w:val="both"/>
        <w:rPr>
          <w:rFonts w:ascii="Arial Narrow" w:hAnsi="Arial Narrow" w:cs="Arial"/>
          <w:sz w:val="24"/>
          <w:szCs w:val="24"/>
        </w:rPr>
      </w:pPr>
    </w:p>
    <w:p w:rsidR="00D2376D" w:rsidRPr="00CD728B" w:rsidRDefault="00940CBA" w:rsidP="00D2376D">
      <w:pPr>
        <w:pStyle w:val="Prrafodelista"/>
        <w:numPr>
          <w:ilvl w:val="0"/>
          <w:numId w:val="5"/>
        </w:numPr>
        <w:spacing w:before="100" w:beforeAutospacing="1" w:after="100" w:afterAutospacing="1" w:line="360" w:lineRule="auto"/>
        <w:jc w:val="both"/>
        <w:rPr>
          <w:rFonts w:ascii="Arial Narrow" w:hAnsi="Arial Narrow" w:cs="Arial"/>
          <w:sz w:val="24"/>
          <w:szCs w:val="24"/>
        </w:rPr>
      </w:pPr>
      <w:r w:rsidRPr="00CD728B">
        <w:rPr>
          <w:rFonts w:ascii="Arial Narrow" w:hAnsi="Arial Narrow" w:cs="Arial"/>
          <w:sz w:val="24"/>
          <w:szCs w:val="24"/>
        </w:rPr>
        <w:t xml:space="preserve">Fracción XXI, con un ICP de 52.69% respecto a programas y acciones de apoyo que incentiven la equidad de género en los diversos ámbitos de desarrollo. Los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no actualizaron la información conforme indica la normatividad vigente y algunos hipervínculos no dan acceso a ésta, por lo que no se encuentra para consulta. </w:t>
      </w:r>
    </w:p>
    <w:p w:rsidR="00D2376D" w:rsidRPr="00CD728B" w:rsidRDefault="00D2376D" w:rsidP="00D2376D">
      <w:pPr>
        <w:pStyle w:val="Prrafodelista"/>
        <w:spacing w:before="100" w:beforeAutospacing="1" w:after="100" w:afterAutospacing="1" w:line="360" w:lineRule="auto"/>
        <w:jc w:val="both"/>
        <w:rPr>
          <w:rFonts w:ascii="Arial Narrow" w:hAnsi="Arial Narrow" w:cs="Arial"/>
          <w:sz w:val="24"/>
          <w:szCs w:val="24"/>
        </w:rPr>
      </w:pPr>
    </w:p>
    <w:p w:rsidR="00D2376D" w:rsidRPr="00CD728B" w:rsidRDefault="00940CBA" w:rsidP="00D2376D">
      <w:pPr>
        <w:pStyle w:val="Prrafodelista"/>
        <w:numPr>
          <w:ilvl w:val="0"/>
          <w:numId w:val="5"/>
        </w:numPr>
        <w:spacing w:before="100" w:beforeAutospacing="1" w:after="100" w:afterAutospacing="1" w:line="360" w:lineRule="auto"/>
        <w:jc w:val="both"/>
        <w:rPr>
          <w:rFonts w:ascii="Arial Narrow" w:hAnsi="Arial Narrow" w:cs="Arial"/>
          <w:sz w:val="24"/>
          <w:szCs w:val="24"/>
        </w:rPr>
      </w:pPr>
      <w:r w:rsidRPr="00CD728B">
        <w:rPr>
          <w:rFonts w:ascii="Arial Narrow" w:hAnsi="Arial Narrow" w:cs="Arial"/>
          <w:sz w:val="24"/>
          <w:szCs w:val="24"/>
        </w:rPr>
        <w:t>Fracción V</w:t>
      </w:r>
      <w:r w:rsidR="003A57A0">
        <w:rPr>
          <w:rFonts w:ascii="Arial Narrow" w:hAnsi="Arial Narrow" w:cs="Arial"/>
          <w:sz w:val="24"/>
          <w:szCs w:val="24"/>
        </w:rPr>
        <w:t>,</w:t>
      </w:r>
      <w:r w:rsidRPr="00CD728B">
        <w:rPr>
          <w:rFonts w:ascii="Arial Narrow" w:hAnsi="Arial Narrow" w:cs="Arial"/>
          <w:sz w:val="24"/>
          <w:szCs w:val="24"/>
        </w:rPr>
        <w:t xml:space="preserve"> con un ICP de 59.72% sobre el ejercicio del presupuesto, deberá publicarse el calendario trimestral sobre la ejecución de las aportaciones federales y locales, pudiendo identificar el programa para el cual se destinaron</w:t>
      </w:r>
      <w:r w:rsidR="00F52CAA" w:rsidRPr="00CD728B">
        <w:rPr>
          <w:rFonts w:ascii="Arial Narrow" w:hAnsi="Arial Narrow" w:cs="Arial"/>
          <w:sz w:val="24"/>
          <w:szCs w:val="24"/>
        </w:rPr>
        <w:t>,</w:t>
      </w:r>
      <w:r w:rsidRPr="00CD728B">
        <w:rPr>
          <w:rFonts w:ascii="Arial Narrow" w:hAnsi="Arial Narrow" w:cs="Arial"/>
          <w:sz w:val="24"/>
          <w:szCs w:val="24"/>
        </w:rPr>
        <w:t xml:space="preserve"> y en su caso</w:t>
      </w:r>
      <w:r w:rsidR="00F52CAA" w:rsidRPr="00CD728B">
        <w:rPr>
          <w:rFonts w:ascii="Arial Narrow" w:hAnsi="Arial Narrow" w:cs="Arial"/>
          <w:sz w:val="24"/>
          <w:szCs w:val="24"/>
        </w:rPr>
        <w:t>,</w:t>
      </w:r>
      <w:r w:rsidRPr="00CD728B">
        <w:rPr>
          <w:rFonts w:ascii="Arial Narrow" w:hAnsi="Arial Narrow" w:cs="Arial"/>
          <w:sz w:val="24"/>
          <w:szCs w:val="24"/>
        </w:rPr>
        <w:t xml:space="preserve"> el monto del gasto asignado. Los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no actualizaron la información conforme indica la normatividad vigente y algunos hipervínculos no dan acceso a ésta, así mismo no se registró información de algunos de los criterios que solicita el formato de carga.</w:t>
      </w:r>
    </w:p>
    <w:p w:rsidR="00D2376D" w:rsidRPr="00CD728B" w:rsidRDefault="00D2376D" w:rsidP="00D2376D">
      <w:pPr>
        <w:pStyle w:val="Prrafodelista"/>
        <w:spacing w:before="100" w:beforeAutospacing="1" w:after="100" w:afterAutospacing="1" w:line="360" w:lineRule="auto"/>
        <w:jc w:val="both"/>
        <w:rPr>
          <w:rFonts w:ascii="Arial Narrow" w:hAnsi="Arial Narrow" w:cs="Arial"/>
          <w:sz w:val="24"/>
          <w:szCs w:val="24"/>
        </w:rPr>
      </w:pPr>
    </w:p>
    <w:p w:rsidR="00D2376D" w:rsidRPr="00CD728B" w:rsidRDefault="00940CBA" w:rsidP="00D2376D">
      <w:pPr>
        <w:pStyle w:val="Prrafodelista"/>
        <w:numPr>
          <w:ilvl w:val="0"/>
          <w:numId w:val="5"/>
        </w:numPr>
        <w:spacing w:before="100" w:beforeAutospacing="1" w:after="100" w:afterAutospacing="1" w:line="360" w:lineRule="auto"/>
        <w:jc w:val="both"/>
        <w:rPr>
          <w:rFonts w:ascii="Arial Narrow" w:hAnsi="Arial Narrow" w:cs="Arial"/>
          <w:sz w:val="24"/>
          <w:szCs w:val="24"/>
        </w:rPr>
      </w:pPr>
      <w:r w:rsidRPr="00CD728B">
        <w:rPr>
          <w:rFonts w:ascii="Arial Narrow" w:hAnsi="Arial Narrow" w:cs="Arial"/>
          <w:sz w:val="24"/>
          <w:szCs w:val="24"/>
        </w:rPr>
        <w:t>Fracción III</w:t>
      </w:r>
      <w:r w:rsidR="003A57A0">
        <w:rPr>
          <w:rFonts w:ascii="Arial Narrow" w:hAnsi="Arial Narrow" w:cs="Arial"/>
          <w:sz w:val="24"/>
          <w:szCs w:val="24"/>
        </w:rPr>
        <w:t>,</w:t>
      </w:r>
      <w:r w:rsidRPr="00CD728B">
        <w:rPr>
          <w:rFonts w:ascii="Arial Narrow" w:hAnsi="Arial Narrow" w:cs="Arial"/>
          <w:sz w:val="24"/>
          <w:szCs w:val="24"/>
        </w:rPr>
        <w:t xml:space="preserve"> con  un ICP de cumplimiento parcial de 82.64% consistente en la relación de los integrantes de los comités y subcomités establecidos por la normatividad vigente, actas de las sesiones y sus acuerdos. En este caso, se identificó que los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no actualizaron la información conforme indica la normatividad vigente y algunos hipervínculos no dan acceso a ésta, así mismo algunos de los formatos de ca</w:t>
      </w:r>
      <w:r w:rsidR="00D2376D" w:rsidRPr="00CD728B">
        <w:rPr>
          <w:rFonts w:ascii="Arial Narrow" w:hAnsi="Arial Narrow" w:cs="Arial"/>
          <w:sz w:val="24"/>
          <w:szCs w:val="24"/>
        </w:rPr>
        <w:t>rga han sido alterados.</w:t>
      </w:r>
    </w:p>
    <w:p w:rsidR="00D2376D" w:rsidRPr="00CD728B" w:rsidRDefault="00D2376D" w:rsidP="00D2376D">
      <w:pPr>
        <w:pStyle w:val="Prrafodelista"/>
        <w:spacing w:before="100" w:beforeAutospacing="1" w:after="100" w:afterAutospacing="1" w:line="360" w:lineRule="auto"/>
        <w:jc w:val="both"/>
        <w:rPr>
          <w:rFonts w:ascii="Arial Narrow" w:hAnsi="Arial Narrow" w:cs="Arial"/>
          <w:sz w:val="24"/>
          <w:szCs w:val="24"/>
        </w:rPr>
      </w:pPr>
    </w:p>
    <w:p w:rsidR="00940CBA" w:rsidRPr="00CD728B" w:rsidRDefault="00940CBA" w:rsidP="002E7D47">
      <w:pPr>
        <w:pStyle w:val="Ttulo3"/>
        <w:numPr>
          <w:ilvl w:val="2"/>
          <w:numId w:val="21"/>
        </w:numPr>
        <w:contextualSpacing/>
        <w:jc w:val="both"/>
        <w:rPr>
          <w:rFonts w:ascii="Arial Narrow" w:hAnsi="Arial Narrow"/>
          <w:b/>
          <w:color w:val="auto"/>
        </w:rPr>
      </w:pPr>
      <w:bookmarkStart w:id="42" w:name="_Toc14293743"/>
      <w:r w:rsidRPr="00CD728B">
        <w:rPr>
          <w:rFonts w:ascii="Arial Narrow" w:hAnsi="Arial Narrow"/>
          <w:b/>
          <w:color w:val="auto"/>
        </w:rPr>
        <w:lastRenderedPageBreak/>
        <w:t xml:space="preserve">Análisis del </w:t>
      </w:r>
      <w:r w:rsidR="009D7771">
        <w:rPr>
          <w:rFonts w:ascii="Arial Narrow" w:hAnsi="Arial Narrow"/>
          <w:b/>
          <w:color w:val="auto"/>
        </w:rPr>
        <w:t>Artículo</w:t>
      </w:r>
      <w:r w:rsidRPr="00CD728B">
        <w:rPr>
          <w:rFonts w:ascii="Arial Narrow" w:hAnsi="Arial Narrow"/>
          <w:b/>
          <w:color w:val="auto"/>
        </w:rPr>
        <w:t xml:space="preserve"> 143</w:t>
      </w:r>
      <w:bookmarkEnd w:id="42"/>
    </w:p>
    <w:p w:rsidR="00940CBA" w:rsidRPr="00CD728B" w:rsidRDefault="00940CBA" w:rsidP="002E7D47">
      <w:pPr>
        <w:spacing w:before="100" w:beforeAutospacing="1" w:after="100" w:afterAutospacing="1" w:line="360" w:lineRule="auto"/>
        <w:contextualSpacing/>
        <w:jc w:val="both"/>
        <w:rPr>
          <w:rFonts w:ascii="Arial Narrow" w:hAnsi="Arial Narrow" w:cs="Arial"/>
          <w:b/>
          <w:bCs/>
          <w:sz w:val="24"/>
          <w:szCs w:val="24"/>
        </w:rPr>
      </w:pPr>
      <w:r w:rsidRPr="00CD728B">
        <w:rPr>
          <w:rFonts w:ascii="Arial Narrow" w:hAnsi="Arial Narrow" w:cs="Arial"/>
          <w:b/>
          <w:bCs/>
          <w:noProof/>
          <w:sz w:val="24"/>
          <w:szCs w:val="24"/>
          <w:lang w:val="es-MX" w:eastAsia="es-MX"/>
        </w:rPr>
        <w:drawing>
          <wp:inline distT="0" distB="0" distL="0" distR="0" wp14:anchorId="42A4DAF7" wp14:editId="4971103E">
            <wp:extent cx="5257800" cy="312420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hatsApp Image 2019-07-02 at 3.16.26 PM.jpeg"/>
                    <pic:cNvPicPr/>
                  </pic:nvPicPr>
                  <pic:blipFill>
                    <a:blip r:embed="rId25">
                      <a:extLst>
                        <a:ext uri="{28A0092B-C50C-407E-A947-70E740481C1C}">
                          <a14:useLocalDpi xmlns:a14="http://schemas.microsoft.com/office/drawing/2010/main" val="0"/>
                        </a:ext>
                      </a:extLst>
                    </a:blip>
                    <a:stretch>
                      <a:fillRect/>
                    </a:stretch>
                  </pic:blipFill>
                  <pic:spPr>
                    <a:xfrm>
                      <a:off x="0" y="0"/>
                      <a:ext cx="5257800" cy="3124200"/>
                    </a:xfrm>
                    <a:prstGeom prst="rect">
                      <a:avLst/>
                    </a:prstGeom>
                  </pic:spPr>
                </pic:pic>
              </a:graphicData>
            </a:graphic>
          </wp:inline>
        </w:drawing>
      </w:r>
    </w:p>
    <w:p w:rsidR="00D2376D" w:rsidRPr="00CD728B" w:rsidRDefault="00D2376D" w:rsidP="002E7D47">
      <w:pPr>
        <w:spacing w:before="100" w:beforeAutospacing="1" w:after="100" w:afterAutospacing="1" w:line="360" w:lineRule="auto"/>
        <w:contextualSpacing/>
        <w:jc w:val="both"/>
        <w:rPr>
          <w:rFonts w:ascii="Arial Narrow" w:hAnsi="Arial Narrow" w:cs="Arial"/>
          <w:sz w:val="24"/>
          <w:szCs w:val="24"/>
        </w:rPr>
      </w:pPr>
    </w:p>
    <w:p w:rsidR="00AF69FA" w:rsidRPr="00CD728B" w:rsidRDefault="00940CBA"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 xml:space="preserve">Los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de este ámbito de gobierno alcanzaron</w:t>
      </w:r>
      <w:r w:rsidR="003A57A0">
        <w:rPr>
          <w:rFonts w:ascii="Arial Narrow" w:hAnsi="Arial Narrow" w:cs="Arial"/>
          <w:sz w:val="24"/>
          <w:szCs w:val="24"/>
        </w:rPr>
        <w:t xml:space="preserve"> un</w:t>
      </w:r>
      <w:r w:rsidRPr="00CD728B">
        <w:rPr>
          <w:rFonts w:ascii="Arial Narrow" w:hAnsi="Arial Narrow" w:cs="Arial"/>
          <w:sz w:val="24"/>
          <w:szCs w:val="24"/>
        </w:rPr>
        <w:t xml:space="preserve"> ICP de 85.54%; por lo que se encuentra dentro del área de cumplimiento parcial. El área de oportunidad que tienen los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respecto de este </w:t>
      </w:r>
      <w:r w:rsidR="009D7771">
        <w:rPr>
          <w:rFonts w:ascii="Arial Narrow" w:hAnsi="Arial Narrow" w:cs="Arial"/>
          <w:sz w:val="24"/>
          <w:szCs w:val="24"/>
        </w:rPr>
        <w:t>Artículo</w:t>
      </w:r>
      <w:r w:rsidRPr="00CD728B">
        <w:rPr>
          <w:rFonts w:ascii="Arial Narrow" w:hAnsi="Arial Narrow" w:cs="Arial"/>
          <w:sz w:val="24"/>
          <w:szCs w:val="24"/>
        </w:rPr>
        <w:t xml:space="preserve"> es actualizar la información conforme </w:t>
      </w:r>
      <w:r w:rsidR="00D2376D" w:rsidRPr="00CD728B">
        <w:rPr>
          <w:rFonts w:ascii="Arial Narrow" w:hAnsi="Arial Narrow" w:cs="Arial"/>
          <w:sz w:val="24"/>
          <w:szCs w:val="24"/>
        </w:rPr>
        <w:t>indica la normatividad vigente.</w:t>
      </w:r>
    </w:p>
    <w:p w:rsidR="00940CBA" w:rsidRPr="00CD728B" w:rsidRDefault="00940CBA" w:rsidP="002E7D47">
      <w:pPr>
        <w:pStyle w:val="Ttulo3"/>
        <w:numPr>
          <w:ilvl w:val="2"/>
          <w:numId w:val="21"/>
        </w:numPr>
        <w:contextualSpacing/>
        <w:jc w:val="both"/>
        <w:rPr>
          <w:rFonts w:ascii="Arial Narrow" w:hAnsi="Arial Narrow"/>
          <w:b/>
          <w:color w:val="auto"/>
        </w:rPr>
      </w:pPr>
      <w:bookmarkStart w:id="43" w:name="_Toc14293744"/>
      <w:r w:rsidRPr="00CD728B">
        <w:rPr>
          <w:rFonts w:ascii="Arial Narrow" w:hAnsi="Arial Narrow"/>
          <w:b/>
          <w:color w:val="auto"/>
        </w:rPr>
        <w:lastRenderedPageBreak/>
        <w:t xml:space="preserve">Análisis del </w:t>
      </w:r>
      <w:r w:rsidR="009D7771">
        <w:rPr>
          <w:rFonts w:ascii="Arial Narrow" w:hAnsi="Arial Narrow"/>
          <w:b/>
          <w:color w:val="auto"/>
        </w:rPr>
        <w:t>Artículo</w:t>
      </w:r>
      <w:r w:rsidRPr="00CD728B">
        <w:rPr>
          <w:rFonts w:ascii="Arial Narrow" w:hAnsi="Arial Narrow"/>
          <w:b/>
          <w:color w:val="auto"/>
        </w:rPr>
        <w:t xml:space="preserve"> 145</w:t>
      </w:r>
      <w:bookmarkEnd w:id="43"/>
    </w:p>
    <w:p w:rsidR="00940CBA" w:rsidRPr="00CD728B" w:rsidRDefault="00940CBA" w:rsidP="002E7D47">
      <w:pPr>
        <w:spacing w:before="100" w:beforeAutospacing="1" w:after="100" w:afterAutospacing="1" w:line="360" w:lineRule="auto"/>
        <w:contextualSpacing/>
        <w:jc w:val="both"/>
        <w:rPr>
          <w:rFonts w:ascii="Arial Narrow" w:hAnsi="Arial Narrow" w:cs="Arial"/>
          <w:b/>
          <w:bCs/>
          <w:sz w:val="24"/>
          <w:szCs w:val="24"/>
        </w:rPr>
      </w:pPr>
      <w:r w:rsidRPr="00CD728B">
        <w:rPr>
          <w:rFonts w:ascii="Arial Narrow" w:hAnsi="Arial Narrow" w:cs="Arial"/>
          <w:b/>
          <w:bCs/>
          <w:noProof/>
          <w:sz w:val="24"/>
          <w:szCs w:val="24"/>
          <w:lang w:val="es-MX" w:eastAsia="es-MX"/>
        </w:rPr>
        <w:drawing>
          <wp:inline distT="0" distB="0" distL="0" distR="0" wp14:anchorId="1189048D" wp14:editId="50804986">
            <wp:extent cx="5191125" cy="2952750"/>
            <wp:effectExtent l="0" t="0" r="952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WhatsApp Image 2019-07-02 at 3.17.58 PM.jpeg"/>
                    <pic:cNvPicPr/>
                  </pic:nvPicPr>
                  <pic:blipFill>
                    <a:blip r:embed="rId26">
                      <a:extLst>
                        <a:ext uri="{28A0092B-C50C-407E-A947-70E740481C1C}">
                          <a14:useLocalDpi xmlns:a14="http://schemas.microsoft.com/office/drawing/2010/main" val="0"/>
                        </a:ext>
                      </a:extLst>
                    </a:blip>
                    <a:stretch>
                      <a:fillRect/>
                    </a:stretch>
                  </pic:blipFill>
                  <pic:spPr>
                    <a:xfrm>
                      <a:off x="0" y="0"/>
                      <a:ext cx="5191125" cy="2952750"/>
                    </a:xfrm>
                    <a:prstGeom prst="rect">
                      <a:avLst/>
                    </a:prstGeom>
                  </pic:spPr>
                </pic:pic>
              </a:graphicData>
            </a:graphic>
          </wp:inline>
        </w:drawing>
      </w:r>
    </w:p>
    <w:p w:rsidR="00D2376D" w:rsidRPr="00CD728B" w:rsidRDefault="00D2376D" w:rsidP="002E7D47">
      <w:pPr>
        <w:spacing w:before="100" w:beforeAutospacing="1" w:after="100" w:afterAutospacing="1" w:line="360" w:lineRule="auto"/>
        <w:contextualSpacing/>
        <w:jc w:val="both"/>
        <w:rPr>
          <w:rFonts w:ascii="Arial Narrow" w:hAnsi="Arial Narrow" w:cs="Arial"/>
          <w:sz w:val="24"/>
          <w:szCs w:val="24"/>
        </w:rPr>
      </w:pPr>
    </w:p>
    <w:p w:rsidR="00940CBA" w:rsidRPr="00CD728B" w:rsidRDefault="00940CBA"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Las delegaciones obtuvieron un ICP de 97.55%; lo anterior ya que 13</w:t>
      </w:r>
      <w:r w:rsidRPr="00CD728B">
        <w:rPr>
          <w:rStyle w:val="Refdenotaalpie"/>
          <w:rFonts w:ascii="Arial Narrow" w:hAnsi="Arial Narrow" w:cs="Arial"/>
          <w:sz w:val="24"/>
          <w:szCs w:val="24"/>
        </w:rPr>
        <w:footnoteReference w:id="49"/>
      </w:r>
      <w:r w:rsidRPr="00CD728B">
        <w:rPr>
          <w:rFonts w:ascii="Arial Narrow" w:hAnsi="Arial Narrow" w:cs="Arial"/>
          <w:sz w:val="24"/>
          <w:szCs w:val="24"/>
        </w:rPr>
        <w:t xml:space="preserve">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cumplieron cabalmente con una señalización fácilmente identificable y accesible que permite a la ciudadanía ingresar al sitio de transparencia. Sin embargo, las delegaciones Azcapotzalco, Iztacalco y Xochimilco tuvieron problemas con el acceso a la página de inicio del portal de internet y en algunos </w:t>
      </w:r>
      <w:r w:rsidR="009D7771">
        <w:rPr>
          <w:rFonts w:ascii="Arial Narrow" w:hAnsi="Arial Narrow" w:cs="Arial"/>
          <w:sz w:val="24"/>
          <w:szCs w:val="24"/>
        </w:rPr>
        <w:t>Artículo</w:t>
      </w:r>
      <w:r w:rsidRPr="00CD728B">
        <w:rPr>
          <w:rFonts w:ascii="Arial Narrow" w:hAnsi="Arial Narrow" w:cs="Arial"/>
          <w:sz w:val="24"/>
          <w:szCs w:val="24"/>
        </w:rPr>
        <w:t>s no se publicó información.</w:t>
      </w:r>
    </w:p>
    <w:p w:rsidR="00940CBA" w:rsidRPr="00CD728B" w:rsidRDefault="00940CBA" w:rsidP="002E7D47">
      <w:pPr>
        <w:pStyle w:val="Ttulo3"/>
        <w:numPr>
          <w:ilvl w:val="2"/>
          <w:numId w:val="21"/>
        </w:numPr>
        <w:contextualSpacing/>
        <w:jc w:val="both"/>
        <w:rPr>
          <w:rFonts w:ascii="Arial Narrow" w:hAnsi="Arial Narrow"/>
          <w:b/>
          <w:color w:val="auto"/>
        </w:rPr>
      </w:pPr>
      <w:bookmarkStart w:id="44" w:name="_Toc14293745"/>
      <w:r w:rsidRPr="00CD728B">
        <w:rPr>
          <w:rFonts w:ascii="Arial Narrow" w:hAnsi="Arial Narrow"/>
          <w:b/>
          <w:color w:val="auto"/>
        </w:rPr>
        <w:lastRenderedPageBreak/>
        <w:t xml:space="preserve">Análisis del </w:t>
      </w:r>
      <w:r w:rsidR="009D7771">
        <w:rPr>
          <w:rFonts w:ascii="Arial Narrow" w:hAnsi="Arial Narrow"/>
          <w:b/>
          <w:color w:val="auto"/>
        </w:rPr>
        <w:t>Artículo</w:t>
      </w:r>
      <w:r w:rsidRPr="00CD728B">
        <w:rPr>
          <w:rFonts w:ascii="Arial Narrow" w:hAnsi="Arial Narrow"/>
          <w:b/>
          <w:color w:val="auto"/>
        </w:rPr>
        <w:t xml:space="preserve"> 146</w:t>
      </w:r>
      <w:bookmarkEnd w:id="44"/>
    </w:p>
    <w:p w:rsidR="00940CBA" w:rsidRPr="00CD728B" w:rsidRDefault="00940CBA" w:rsidP="002E7D47">
      <w:pPr>
        <w:spacing w:before="100" w:beforeAutospacing="1" w:after="100" w:afterAutospacing="1" w:line="360" w:lineRule="auto"/>
        <w:contextualSpacing/>
        <w:jc w:val="both"/>
        <w:rPr>
          <w:rFonts w:ascii="Arial Narrow" w:hAnsi="Arial Narrow" w:cs="Arial"/>
          <w:b/>
          <w:bCs/>
          <w:sz w:val="24"/>
          <w:szCs w:val="24"/>
        </w:rPr>
      </w:pPr>
      <w:r w:rsidRPr="00CD728B">
        <w:rPr>
          <w:rFonts w:ascii="Arial Narrow" w:hAnsi="Arial Narrow" w:cs="Arial"/>
          <w:b/>
          <w:bCs/>
          <w:noProof/>
          <w:sz w:val="24"/>
          <w:szCs w:val="24"/>
          <w:lang w:val="es-MX" w:eastAsia="es-MX"/>
        </w:rPr>
        <w:drawing>
          <wp:inline distT="0" distB="0" distL="0" distR="0" wp14:anchorId="64916B46" wp14:editId="39CD5537">
            <wp:extent cx="5629524" cy="2752725"/>
            <wp:effectExtent l="0" t="0" r="9525"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WhatsApp Image 2019-07-02 at 3.24.41 PM.jpeg"/>
                    <pic:cNvPicPr/>
                  </pic:nvPicPr>
                  <pic:blipFill>
                    <a:blip r:embed="rId27">
                      <a:extLst>
                        <a:ext uri="{28A0092B-C50C-407E-A947-70E740481C1C}">
                          <a14:useLocalDpi xmlns:a14="http://schemas.microsoft.com/office/drawing/2010/main" val="0"/>
                        </a:ext>
                      </a:extLst>
                    </a:blip>
                    <a:stretch>
                      <a:fillRect/>
                    </a:stretch>
                  </pic:blipFill>
                  <pic:spPr>
                    <a:xfrm>
                      <a:off x="0" y="0"/>
                      <a:ext cx="5632011" cy="2753941"/>
                    </a:xfrm>
                    <a:prstGeom prst="rect">
                      <a:avLst/>
                    </a:prstGeom>
                  </pic:spPr>
                </pic:pic>
              </a:graphicData>
            </a:graphic>
          </wp:inline>
        </w:drawing>
      </w:r>
    </w:p>
    <w:p w:rsidR="00D2376D" w:rsidRPr="00CD728B" w:rsidRDefault="00D2376D" w:rsidP="002E7D47">
      <w:pPr>
        <w:spacing w:before="100" w:beforeAutospacing="1" w:after="100" w:afterAutospacing="1" w:line="360" w:lineRule="auto"/>
        <w:contextualSpacing/>
        <w:jc w:val="both"/>
        <w:rPr>
          <w:rFonts w:ascii="Arial Narrow" w:hAnsi="Arial Narrow" w:cs="Arial"/>
          <w:sz w:val="24"/>
          <w:szCs w:val="24"/>
        </w:rPr>
      </w:pPr>
    </w:p>
    <w:p w:rsidR="00940CBA" w:rsidRPr="00CD728B" w:rsidRDefault="00940CBA"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 xml:space="preserve">Este ámbito de gobierno obtuvo un ICP de 12.75%; debido a que solo la </w:t>
      </w:r>
      <w:r w:rsidR="00D2376D" w:rsidRPr="00CD728B">
        <w:rPr>
          <w:rFonts w:ascii="Arial Narrow" w:hAnsi="Arial Narrow" w:cs="Arial"/>
          <w:sz w:val="24"/>
          <w:szCs w:val="24"/>
        </w:rPr>
        <w:t>Demarcación Política</w:t>
      </w:r>
      <w:r w:rsidRPr="00CD728B">
        <w:rPr>
          <w:rFonts w:ascii="Arial Narrow" w:hAnsi="Arial Narrow" w:cs="Arial"/>
          <w:sz w:val="24"/>
          <w:szCs w:val="24"/>
        </w:rPr>
        <w:t xml:space="preserve"> Venustiano Carranza obtuvo un cumplimiento parcial, tres</w:t>
      </w:r>
      <w:r w:rsidRPr="00CD728B">
        <w:rPr>
          <w:rStyle w:val="Refdenotaalpie"/>
          <w:rFonts w:ascii="Arial Narrow" w:hAnsi="Arial Narrow" w:cs="Arial"/>
          <w:sz w:val="24"/>
          <w:szCs w:val="24"/>
        </w:rPr>
        <w:footnoteReference w:id="50"/>
      </w:r>
      <w:r w:rsidRPr="00CD728B">
        <w:rPr>
          <w:rFonts w:ascii="Arial Narrow" w:hAnsi="Arial Narrow" w:cs="Arial"/>
          <w:sz w:val="24"/>
          <w:szCs w:val="24"/>
        </w:rPr>
        <w:t xml:space="preserve">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t</w:t>
      </w:r>
      <w:r w:rsidR="003A57A0">
        <w:rPr>
          <w:rFonts w:ascii="Arial Narrow" w:hAnsi="Arial Narrow" w:cs="Arial"/>
          <w:sz w:val="24"/>
          <w:szCs w:val="24"/>
        </w:rPr>
        <w:t xml:space="preserve">uvieron incumplimiento parcial </w:t>
      </w:r>
      <w:r w:rsidRPr="00CD728B">
        <w:rPr>
          <w:rFonts w:ascii="Arial Narrow" w:hAnsi="Arial Narrow" w:cs="Arial"/>
          <w:sz w:val="24"/>
          <w:szCs w:val="24"/>
        </w:rPr>
        <w:t>y 12</w:t>
      </w:r>
      <w:r w:rsidRPr="00CD728B">
        <w:rPr>
          <w:rStyle w:val="Refdenotaalpie"/>
          <w:rFonts w:ascii="Arial Narrow" w:hAnsi="Arial Narrow" w:cs="Arial"/>
          <w:sz w:val="24"/>
          <w:szCs w:val="24"/>
        </w:rPr>
        <w:footnoteReference w:id="51"/>
      </w:r>
      <w:r w:rsidR="003A57A0">
        <w:rPr>
          <w:rFonts w:ascii="Arial Narrow" w:hAnsi="Arial Narrow" w:cs="Arial"/>
          <w:sz w:val="24"/>
          <w:szCs w:val="24"/>
        </w:rPr>
        <w:t xml:space="preserve"> un incumplimiento total. Los</w:t>
      </w:r>
      <w:r w:rsidRPr="00CD728B">
        <w:rPr>
          <w:rFonts w:ascii="Arial Narrow" w:hAnsi="Arial Narrow" w:cs="Arial"/>
          <w:sz w:val="24"/>
          <w:szCs w:val="24"/>
        </w:rPr>
        <w:t xml:space="preserve">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deberán actualizar la información conforme </w:t>
      </w:r>
      <w:r w:rsidR="00F52CAA" w:rsidRPr="00CD728B">
        <w:rPr>
          <w:rFonts w:ascii="Arial Narrow" w:hAnsi="Arial Narrow" w:cs="Arial"/>
          <w:sz w:val="24"/>
          <w:szCs w:val="24"/>
        </w:rPr>
        <w:t>indica la normatividad vigente, además de</w:t>
      </w:r>
      <w:r w:rsidRPr="00CD728B">
        <w:rPr>
          <w:rFonts w:ascii="Arial Narrow" w:hAnsi="Arial Narrow" w:cs="Arial"/>
          <w:sz w:val="24"/>
          <w:szCs w:val="24"/>
        </w:rPr>
        <w:t xml:space="preserve"> fundar y motivar cuándo se determine que ciertos criterios de la fracción no les aplican.</w:t>
      </w:r>
    </w:p>
    <w:p w:rsidR="00940CBA" w:rsidRPr="00CD728B" w:rsidRDefault="00940CBA" w:rsidP="002E7D47">
      <w:pPr>
        <w:pStyle w:val="Ttulo3"/>
        <w:numPr>
          <w:ilvl w:val="2"/>
          <w:numId w:val="21"/>
        </w:numPr>
        <w:contextualSpacing/>
        <w:jc w:val="both"/>
        <w:rPr>
          <w:rFonts w:ascii="Arial Narrow" w:hAnsi="Arial Narrow"/>
          <w:b/>
          <w:color w:val="auto"/>
        </w:rPr>
      </w:pPr>
      <w:bookmarkStart w:id="45" w:name="_Toc14293746"/>
      <w:r w:rsidRPr="00CD728B">
        <w:rPr>
          <w:rFonts w:ascii="Arial Narrow" w:hAnsi="Arial Narrow"/>
          <w:b/>
          <w:color w:val="auto"/>
        </w:rPr>
        <w:lastRenderedPageBreak/>
        <w:t xml:space="preserve">Análisis del </w:t>
      </w:r>
      <w:r w:rsidR="009D7771">
        <w:rPr>
          <w:rFonts w:ascii="Arial Narrow" w:hAnsi="Arial Narrow"/>
          <w:b/>
          <w:color w:val="auto"/>
        </w:rPr>
        <w:t>Artículo</w:t>
      </w:r>
      <w:r w:rsidRPr="00CD728B">
        <w:rPr>
          <w:rFonts w:ascii="Arial Narrow" w:hAnsi="Arial Narrow"/>
          <w:b/>
          <w:color w:val="auto"/>
        </w:rPr>
        <w:t xml:space="preserve"> 147</w:t>
      </w:r>
      <w:bookmarkEnd w:id="45"/>
      <w:r w:rsidRPr="00CD728B">
        <w:rPr>
          <w:rFonts w:ascii="Arial Narrow" w:hAnsi="Arial Narrow"/>
          <w:b/>
          <w:color w:val="auto"/>
        </w:rPr>
        <w:t xml:space="preserve"> </w:t>
      </w:r>
    </w:p>
    <w:p w:rsidR="00940CBA" w:rsidRPr="00CD728B" w:rsidRDefault="00940CBA" w:rsidP="002E7D47">
      <w:pPr>
        <w:spacing w:before="100" w:beforeAutospacing="1" w:after="100" w:afterAutospacing="1" w:line="360" w:lineRule="auto"/>
        <w:contextualSpacing/>
        <w:jc w:val="both"/>
        <w:rPr>
          <w:rFonts w:ascii="Arial Narrow" w:hAnsi="Arial Narrow" w:cs="Arial"/>
          <w:b/>
          <w:bCs/>
          <w:sz w:val="24"/>
          <w:szCs w:val="24"/>
        </w:rPr>
      </w:pPr>
      <w:r w:rsidRPr="00CD728B">
        <w:rPr>
          <w:rFonts w:ascii="Arial Narrow" w:hAnsi="Arial Narrow" w:cs="Arial"/>
          <w:b/>
          <w:bCs/>
          <w:noProof/>
          <w:sz w:val="24"/>
          <w:szCs w:val="24"/>
          <w:lang w:val="es-MX" w:eastAsia="es-MX"/>
        </w:rPr>
        <w:drawing>
          <wp:inline distT="0" distB="0" distL="0" distR="0" wp14:anchorId="154AF154" wp14:editId="7718EEE4">
            <wp:extent cx="5133975" cy="3190875"/>
            <wp:effectExtent l="0" t="0" r="9525" b="952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WhatsApp Image 2019-07-02 at 3.26.38 PM.jpeg"/>
                    <pic:cNvPicPr/>
                  </pic:nvPicPr>
                  <pic:blipFill>
                    <a:blip r:embed="rId28">
                      <a:extLst>
                        <a:ext uri="{28A0092B-C50C-407E-A947-70E740481C1C}">
                          <a14:useLocalDpi xmlns:a14="http://schemas.microsoft.com/office/drawing/2010/main" val="0"/>
                        </a:ext>
                      </a:extLst>
                    </a:blip>
                    <a:stretch>
                      <a:fillRect/>
                    </a:stretch>
                  </pic:blipFill>
                  <pic:spPr>
                    <a:xfrm>
                      <a:off x="0" y="0"/>
                      <a:ext cx="5133975" cy="3190875"/>
                    </a:xfrm>
                    <a:prstGeom prst="rect">
                      <a:avLst/>
                    </a:prstGeom>
                  </pic:spPr>
                </pic:pic>
              </a:graphicData>
            </a:graphic>
          </wp:inline>
        </w:drawing>
      </w:r>
    </w:p>
    <w:p w:rsidR="00D2376D" w:rsidRPr="00CD728B" w:rsidRDefault="00D2376D" w:rsidP="002E7D47">
      <w:pPr>
        <w:spacing w:before="100" w:beforeAutospacing="1" w:after="100" w:afterAutospacing="1" w:line="360" w:lineRule="auto"/>
        <w:contextualSpacing/>
        <w:jc w:val="both"/>
        <w:rPr>
          <w:rFonts w:ascii="Arial Narrow" w:hAnsi="Arial Narrow" w:cs="Arial"/>
          <w:sz w:val="24"/>
          <w:szCs w:val="24"/>
        </w:rPr>
      </w:pPr>
    </w:p>
    <w:p w:rsidR="00AF69FA" w:rsidRPr="00CD728B" w:rsidRDefault="00940CBA" w:rsidP="002E7D47">
      <w:pPr>
        <w:spacing w:before="100" w:beforeAutospacing="1" w:after="100" w:afterAutospacing="1" w:line="360" w:lineRule="auto"/>
        <w:contextualSpacing/>
        <w:jc w:val="both"/>
        <w:rPr>
          <w:rFonts w:ascii="Arial Narrow" w:eastAsiaTheme="majorEastAsia" w:hAnsi="Arial Narrow" w:cstheme="majorBidi"/>
          <w:b/>
          <w:sz w:val="24"/>
          <w:szCs w:val="24"/>
        </w:rPr>
      </w:pPr>
      <w:r w:rsidRPr="00CD728B">
        <w:rPr>
          <w:rFonts w:ascii="Arial Narrow" w:hAnsi="Arial Narrow" w:cs="Arial"/>
          <w:sz w:val="24"/>
          <w:szCs w:val="24"/>
        </w:rPr>
        <w:t>Por último, las delegaciones obtuvieron un ICP de 67.42%; debido a que cinco</w:t>
      </w:r>
      <w:r w:rsidRPr="00CD728B">
        <w:rPr>
          <w:rStyle w:val="Refdenotaalpie"/>
          <w:rFonts w:ascii="Arial Narrow" w:hAnsi="Arial Narrow" w:cs="Arial"/>
          <w:sz w:val="24"/>
          <w:szCs w:val="24"/>
        </w:rPr>
        <w:footnoteReference w:id="52"/>
      </w:r>
      <w:r w:rsidRPr="00CD728B">
        <w:rPr>
          <w:rFonts w:ascii="Arial Narrow" w:hAnsi="Arial Narrow" w:cs="Arial"/>
          <w:sz w:val="24"/>
          <w:szCs w:val="24"/>
        </w:rPr>
        <w:t xml:space="preserve">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tuvieron un cumplimiento total, tres</w:t>
      </w:r>
      <w:r w:rsidRPr="00CD728B">
        <w:rPr>
          <w:rStyle w:val="Refdenotaalpie"/>
          <w:rFonts w:ascii="Arial Narrow" w:hAnsi="Arial Narrow" w:cs="Arial"/>
          <w:sz w:val="24"/>
          <w:szCs w:val="24"/>
        </w:rPr>
        <w:footnoteReference w:id="53"/>
      </w:r>
      <w:r w:rsidRPr="00CD728B">
        <w:rPr>
          <w:rFonts w:ascii="Arial Narrow" w:hAnsi="Arial Narrow" w:cs="Arial"/>
          <w:sz w:val="24"/>
          <w:szCs w:val="24"/>
        </w:rPr>
        <w:t xml:space="preserve"> cumplimiento parcial y siete</w:t>
      </w:r>
      <w:r w:rsidRPr="00CD728B">
        <w:rPr>
          <w:rStyle w:val="Refdenotaalpie"/>
          <w:rFonts w:ascii="Arial Narrow" w:hAnsi="Arial Narrow" w:cs="Arial"/>
          <w:sz w:val="24"/>
          <w:szCs w:val="24"/>
        </w:rPr>
        <w:footnoteReference w:id="54"/>
      </w:r>
      <w:r w:rsidRPr="00CD728B">
        <w:rPr>
          <w:rFonts w:ascii="Arial Narrow" w:hAnsi="Arial Narrow" w:cs="Arial"/>
          <w:sz w:val="24"/>
          <w:szCs w:val="24"/>
        </w:rPr>
        <w:t xml:space="preserve"> incumplimiento parcial y la </w:t>
      </w:r>
      <w:r w:rsidR="00D2376D" w:rsidRPr="00CD728B">
        <w:rPr>
          <w:rFonts w:ascii="Arial Narrow" w:hAnsi="Arial Narrow" w:cs="Arial"/>
          <w:sz w:val="24"/>
          <w:szCs w:val="24"/>
        </w:rPr>
        <w:t>Demarcación Política</w:t>
      </w:r>
      <w:r w:rsidRPr="00CD728B">
        <w:rPr>
          <w:rFonts w:ascii="Arial Narrow" w:hAnsi="Arial Narrow" w:cs="Arial"/>
          <w:sz w:val="24"/>
          <w:szCs w:val="24"/>
        </w:rPr>
        <w:t xml:space="preserve"> Xochimilco incumplió totalmente. Los sujetos deberán actualizar la información conforme indica la normatividad vigente, así como verificar el acceso a los hipervínculos. Por otra parte, se recomienda revisar esta fracción en la Tabla de Aplicabilidad ya que ésta les aplica a todas; se deberá estudiar el caso y publicar la información solicitada o transcribir la leyenda “no se generó información” con su debida motivación y fundamentación.</w:t>
      </w:r>
      <w:r w:rsidR="00AF69FA" w:rsidRPr="00CD728B">
        <w:rPr>
          <w:rFonts w:ascii="Arial Narrow" w:hAnsi="Arial Narrow"/>
          <w:b/>
          <w:sz w:val="24"/>
          <w:szCs w:val="24"/>
        </w:rPr>
        <w:br w:type="page"/>
      </w:r>
    </w:p>
    <w:p w:rsidR="00797777" w:rsidRPr="00CD728B" w:rsidRDefault="00AF69FA" w:rsidP="002E7D47">
      <w:pPr>
        <w:pStyle w:val="Ttulo1"/>
        <w:numPr>
          <w:ilvl w:val="0"/>
          <w:numId w:val="9"/>
        </w:numPr>
        <w:contextualSpacing/>
        <w:rPr>
          <w:rFonts w:ascii="Arial Narrow" w:hAnsi="Arial Narrow"/>
          <w:b/>
          <w:color w:val="auto"/>
          <w:sz w:val="24"/>
          <w:szCs w:val="24"/>
        </w:rPr>
      </w:pPr>
      <w:bookmarkStart w:id="46" w:name="_Toc14293747"/>
      <w:r w:rsidRPr="00CD728B">
        <w:rPr>
          <w:rFonts w:ascii="Arial Narrow" w:hAnsi="Arial Narrow"/>
          <w:b/>
          <w:color w:val="auto"/>
          <w:sz w:val="24"/>
          <w:szCs w:val="24"/>
        </w:rPr>
        <w:lastRenderedPageBreak/>
        <w:t>PODER LEGISLATIVO</w:t>
      </w:r>
      <w:bookmarkEnd w:id="46"/>
      <w:r w:rsidRPr="00CD728B">
        <w:rPr>
          <w:rFonts w:ascii="Arial Narrow" w:hAnsi="Arial Narrow"/>
          <w:b/>
          <w:color w:val="auto"/>
          <w:sz w:val="24"/>
          <w:szCs w:val="24"/>
        </w:rPr>
        <w:t xml:space="preserve"> </w:t>
      </w:r>
    </w:p>
    <w:p w:rsidR="00797777" w:rsidRPr="00CD728B" w:rsidRDefault="00797777" w:rsidP="002E7D47">
      <w:pPr>
        <w:spacing w:before="100" w:beforeAutospacing="1" w:after="100" w:afterAutospacing="1" w:line="360" w:lineRule="auto"/>
        <w:contextualSpacing/>
        <w:jc w:val="both"/>
        <w:rPr>
          <w:rFonts w:ascii="Arial Narrow" w:hAnsi="Arial Narrow"/>
          <w:sz w:val="24"/>
          <w:szCs w:val="24"/>
        </w:rPr>
      </w:pPr>
      <w:r w:rsidRPr="00CD728B">
        <w:rPr>
          <w:rFonts w:ascii="Arial Narrow" w:hAnsi="Arial Narrow"/>
          <w:sz w:val="24"/>
          <w:szCs w:val="24"/>
        </w:rPr>
        <w:t xml:space="preserve">El ámbito de Poder Legislativo, al 31 de diciembre de 2018 estaba conformado por la Auditoría Superior de la Ciudad de México (ASCDMX) y la </w:t>
      </w:r>
      <w:r w:rsidRPr="00CD728B">
        <w:rPr>
          <w:rFonts w:ascii="Arial Narrow" w:hAnsi="Arial Narrow" w:cs="Arial"/>
          <w:sz w:val="24"/>
          <w:szCs w:val="24"/>
        </w:rPr>
        <w:t>Asamblea Legislativa del Distrito Federal (ALDF)</w:t>
      </w:r>
      <w:r w:rsidRPr="00CD728B">
        <w:rPr>
          <w:rFonts w:ascii="Arial Narrow" w:hAnsi="Arial Narrow"/>
          <w:sz w:val="24"/>
          <w:szCs w:val="24"/>
        </w:rPr>
        <w:t>, de conformidad con el Padrón</w:t>
      </w:r>
      <w:r w:rsidRPr="00CD728B">
        <w:rPr>
          <w:rFonts w:ascii="Arial Narrow" w:hAnsi="Arial Narrow" w:cs="Arial"/>
          <w:sz w:val="24"/>
          <w:szCs w:val="24"/>
        </w:rPr>
        <w:t>.</w:t>
      </w:r>
      <w:r w:rsidRPr="00CD728B">
        <w:rPr>
          <w:rFonts w:ascii="Arial Narrow" w:hAnsi="Arial Narrow"/>
          <w:sz w:val="24"/>
          <w:szCs w:val="24"/>
        </w:rPr>
        <w:t xml:space="preserve"> </w:t>
      </w:r>
    </w:p>
    <w:p w:rsidR="00D2376D" w:rsidRPr="00CD728B" w:rsidRDefault="00D2376D" w:rsidP="002E7D47">
      <w:pPr>
        <w:spacing w:before="100" w:beforeAutospacing="1" w:after="100" w:afterAutospacing="1" w:line="360" w:lineRule="auto"/>
        <w:contextualSpacing/>
        <w:jc w:val="both"/>
        <w:rPr>
          <w:rFonts w:ascii="Arial Narrow" w:hAnsi="Arial Narrow"/>
          <w:sz w:val="24"/>
          <w:szCs w:val="24"/>
        </w:rPr>
      </w:pPr>
    </w:p>
    <w:p w:rsidR="00797777" w:rsidRPr="00CD728B" w:rsidRDefault="00797777"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sz w:val="24"/>
          <w:szCs w:val="24"/>
        </w:rPr>
        <w:t xml:space="preserve">Los </w:t>
      </w:r>
      <w:r w:rsidR="003C3757" w:rsidRPr="00CD728B">
        <w:rPr>
          <w:rFonts w:ascii="Arial Narrow" w:hAnsi="Arial Narrow"/>
          <w:sz w:val="24"/>
          <w:szCs w:val="24"/>
        </w:rPr>
        <w:t>Sujetos Obligados</w:t>
      </w:r>
      <w:r w:rsidRPr="00CD728B">
        <w:rPr>
          <w:rFonts w:ascii="Arial Narrow" w:hAnsi="Arial Narrow"/>
          <w:sz w:val="24"/>
          <w:szCs w:val="24"/>
        </w:rPr>
        <w:t xml:space="preserve">, así como su </w:t>
      </w:r>
      <w:r w:rsidR="00623A69">
        <w:rPr>
          <w:rFonts w:ascii="Arial Narrow" w:hAnsi="Arial Narrow" w:cs="Arial"/>
          <w:sz w:val="24"/>
          <w:szCs w:val="24"/>
        </w:rPr>
        <w:t>ICOT-PT</w:t>
      </w:r>
      <w:r w:rsidRPr="00CD728B">
        <w:rPr>
          <w:rFonts w:ascii="Arial Narrow" w:hAnsi="Arial Narrow" w:cs="Arial"/>
          <w:sz w:val="24"/>
          <w:szCs w:val="24"/>
        </w:rPr>
        <w:t>, el ICOT-PNT</w:t>
      </w:r>
      <w:r w:rsidRPr="00CD728B">
        <w:rPr>
          <w:rFonts w:ascii="Arial Narrow" w:hAnsi="Arial Narrow"/>
          <w:sz w:val="24"/>
          <w:szCs w:val="24"/>
        </w:rPr>
        <w:t xml:space="preserve"> e </w:t>
      </w:r>
      <w:r w:rsidRPr="00CD728B">
        <w:rPr>
          <w:rFonts w:ascii="Arial Narrow" w:hAnsi="Arial Narrow" w:cs="Arial"/>
          <w:sz w:val="24"/>
          <w:szCs w:val="24"/>
        </w:rPr>
        <w:t xml:space="preserve">IGOT se presentan en la siguiente tabla, ordenados de forma descendente, respecto del IGOT: </w:t>
      </w:r>
    </w:p>
    <w:p w:rsidR="00797777" w:rsidRPr="00CD728B" w:rsidRDefault="00797777" w:rsidP="002E7D47">
      <w:pPr>
        <w:spacing w:before="100" w:beforeAutospacing="1" w:after="100" w:afterAutospacing="1" w:line="360" w:lineRule="auto"/>
        <w:contextualSpacing/>
        <w:jc w:val="both"/>
        <w:rPr>
          <w:rFonts w:ascii="Arial Narrow" w:hAnsi="Arial Narrow" w:cs="Arial"/>
          <w:sz w:val="24"/>
          <w:szCs w:val="24"/>
        </w:rPr>
      </w:pPr>
    </w:p>
    <w:tbl>
      <w:tblPr>
        <w:tblW w:w="8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57"/>
        <w:gridCol w:w="1134"/>
        <w:gridCol w:w="992"/>
        <w:gridCol w:w="1245"/>
      </w:tblGrid>
      <w:tr w:rsidR="00797777" w:rsidRPr="00CD728B" w:rsidTr="00AF69FA">
        <w:trPr>
          <w:trHeight w:val="320"/>
        </w:trPr>
        <w:tc>
          <w:tcPr>
            <w:tcW w:w="8828" w:type="dxa"/>
            <w:gridSpan w:val="4"/>
            <w:shd w:val="clear" w:color="auto" w:fill="33CCCC"/>
            <w:noWrap/>
            <w:vAlign w:val="center"/>
            <w:hideMark/>
          </w:tcPr>
          <w:p w:rsidR="00797777" w:rsidRPr="00CD728B" w:rsidRDefault="00797777"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Resultados de la Evaluación Vinculante 2019, respecto del ejercicio 2018.</w:t>
            </w:r>
          </w:p>
        </w:tc>
      </w:tr>
      <w:tr w:rsidR="00797777" w:rsidRPr="00CD728B" w:rsidTr="00D237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0"/>
        </w:trPr>
        <w:tc>
          <w:tcPr>
            <w:tcW w:w="5457" w:type="dxa"/>
            <w:tcBorders>
              <w:top w:val="single" w:sz="4" w:space="0" w:color="auto"/>
              <w:left w:val="single" w:sz="4" w:space="0" w:color="auto"/>
              <w:bottom w:val="single" w:sz="4" w:space="0" w:color="auto"/>
              <w:right w:val="single" w:sz="4" w:space="0" w:color="auto"/>
            </w:tcBorders>
            <w:shd w:val="clear" w:color="auto" w:fill="33CCCC"/>
            <w:noWrap/>
            <w:vAlign w:val="center"/>
            <w:hideMark/>
          </w:tcPr>
          <w:p w:rsidR="00797777" w:rsidRPr="00CD728B" w:rsidRDefault="003C3757"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Sujetos Obligados</w:t>
            </w:r>
          </w:p>
        </w:tc>
        <w:tc>
          <w:tcPr>
            <w:tcW w:w="1134" w:type="dxa"/>
            <w:tcBorders>
              <w:top w:val="single" w:sz="4" w:space="0" w:color="auto"/>
              <w:left w:val="nil"/>
              <w:bottom w:val="single" w:sz="4" w:space="0" w:color="auto"/>
              <w:right w:val="single" w:sz="4" w:space="0" w:color="auto"/>
            </w:tcBorders>
            <w:shd w:val="clear" w:color="auto" w:fill="33CCCC"/>
            <w:noWrap/>
            <w:vAlign w:val="center"/>
            <w:hideMark/>
          </w:tcPr>
          <w:p w:rsidR="00797777" w:rsidRPr="00CD728B" w:rsidRDefault="00797777" w:rsidP="00D2376D">
            <w:pPr>
              <w:spacing w:before="100" w:beforeAutospacing="1" w:after="100" w:afterAutospacing="1" w:line="360" w:lineRule="auto"/>
              <w:contextualSpacing/>
              <w:jc w:val="center"/>
              <w:rPr>
                <w:rFonts w:ascii="Arial Narrow" w:hAnsi="Arial Narrow" w:cs="Arial"/>
                <w:sz w:val="24"/>
                <w:szCs w:val="24"/>
              </w:rPr>
            </w:pPr>
            <w:r w:rsidRPr="00CD728B">
              <w:rPr>
                <w:rFonts w:ascii="Arial Narrow" w:hAnsi="Arial Narrow" w:cs="Arial"/>
                <w:sz w:val="24"/>
                <w:szCs w:val="24"/>
              </w:rPr>
              <w:t>IGOT</w:t>
            </w:r>
          </w:p>
        </w:tc>
        <w:tc>
          <w:tcPr>
            <w:tcW w:w="992" w:type="dxa"/>
            <w:tcBorders>
              <w:top w:val="single" w:sz="4" w:space="0" w:color="auto"/>
              <w:left w:val="nil"/>
              <w:bottom w:val="single" w:sz="4" w:space="0" w:color="auto"/>
              <w:right w:val="single" w:sz="4" w:space="0" w:color="auto"/>
            </w:tcBorders>
            <w:shd w:val="clear" w:color="auto" w:fill="33CCCC"/>
            <w:noWrap/>
            <w:vAlign w:val="center"/>
            <w:hideMark/>
          </w:tcPr>
          <w:p w:rsidR="00797777" w:rsidRPr="00CD728B" w:rsidRDefault="00623A69" w:rsidP="00D2376D">
            <w:pPr>
              <w:spacing w:before="100" w:beforeAutospacing="1" w:after="100" w:afterAutospacing="1" w:line="360" w:lineRule="auto"/>
              <w:contextualSpacing/>
              <w:jc w:val="center"/>
              <w:rPr>
                <w:rFonts w:ascii="Arial Narrow" w:hAnsi="Arial Narrow" w:cs="Arial"/>
                <w:sz w:val="24"/>
                <w:szCs w:val="24"/>
              </w:rPr>
            </w:pPr>
            <w:r>
              <w:rPr>
                <w:rFonts w:ascii="Arial Narrow" w:hAnsi="Arial Narrow" w:cs="Arial"/>
                <w:sz w:val="24"/>
                <w:szCs w:val="24"/>
              </w:rPr>
              <w:t>ICOT-PT</w:t>
            </w:r>
          </w:p>
        </w:tc>
        <w:tc>
          <w:tcPr>
            <w:tcW w:w="1245" w:type="dxa"/>
            <w:tcBorders>
              <w:top w:val="single" w:sz="4" w:space="0" w:color="auto"/>
              <w:left w:val="nil"/>
              <w:bottom w:val="single" w:sz="4" w:space="0" w:color="auto"/>
              <w:right w:val="single" w:sz="4" w:space="0" w:color="auto"/>
            </w:tcBorders>
            <w:shd w:val="clear" w:color="auto" w:fill="33CCCC"/>
            <w:noWrap/>
            <w:vAlign w:val="center"/>
            <w:hideMark/>
          </w:tcPr>
          <w:p w:rsidR="00797777" w:rsidRPr="00CD728B" w:rsidRDefault="00797777" w:rsidP="00D2376D">
            <w:pPr>
              <w:spacing w:before="100" w:beforeAutospacing="1" w:after="100" w:afterAutospacing="1" w:line="360" w:lineRule="auto"/>
              <w:contextualSpacing/>
              <w:jc w:val="center"/>
              <w:rPr>
                <w:rFonts w:ascii="Arial Narrow" w:hAnsi="Arial Narrow" w:cs="Arial"/>
                <w:sz w:val="24"/>
                <w:szCs w:val="24"/>
              </w:rPr>
            </w:pPr>
            <w:r w:rsidRPr="00CD728B">
              <w:rPr>
                <w:rFonts w:ascii="Arial Narrow" w:hAnsi="Arial Narrow" w:cs="Arial"/>
                <w:sz w:val="24"/>
                <w:szCs w:val="24"/>
              </w:rPr>
              <w:t>ICOT-PNT</w:t>
            </w:r>
          </w:p>
        </w:tc>
      </w:tr>
      <w:tr w:rsidR="00797777" w:rsidRPr="00CD728B" w:rsidTr="006C72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0"/>
        </w:trPr>
        <w:tc>
          <w:tcPr>
            <w:tcW w:w="54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797777" w:rsidRPr="00CD728B" w:rsidRDefault="00797777"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Auditoría Superior de la Ciudad de México</w:t>
            </w:r>
          </w:p>
        </w:tc>
        <w:tc>
          <w:tcPr>
            <w:tcW w:w="1134" w:type="dxa"/>
            <w:tcBorders>
              <w:top w:val="single" w:sz="4" w:space="0" w:color="auto"/>
              <w:left w:val="nil"/>
              <w:bottom w:val="single" w:sz="4" w:space="0" w:color="auto"/>
              <w:right w:val="single" w:sz="4" w:space="0" w:color="auto"/>
            </w:tcBorders>
            <w:shd w:val="clear" w:color="auto" w:fill="C9C9C9" w:themeFill="accent3" w:themeFillTint="99"/>
            <w:noWrap/>
            <w:vAlign w:val="bottom"/>
            <w:hideMark/>
          </w:tcPr>
          <w:p w:rsidR="00797777" w:rsidRPr="00CD728B" w:rsidRDefault="00797777" w:rsidP="00D2376D">
            <w:pPr>
              <w:spacing w:before="100" w:beforeAutospacing="1" w:after="100" w:afterAutospacing="1" w:line="360" w:lineRule="auto"/>
              <w:contextualSpacing/>
              <w:jc w:val="center"/>
              <w:rPr>
                <w:rFonts w:ascii="Arial Narrow" w:hAnsi="Arial Narrow" w:cs="Arial"/>
                <w:sz w:val="24"/>
                <w:szCs w:val="24"/>
              </w:rPr>
            </w:pPr>
            <w:r w:rsidRPr="00CD728B">
              <w:rPr>
                <w:rFonts w:ascii="Arial Narrow" w:hAnsi="Arial Narrow" w:cs="Arial"/>
                <w:sz w:val="24"/>
                <w:szCs w:val="24"/>
              </w:rPr>
              <w:t>62.90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797777" w:rsidRPr="00CD728B" w:rsidRDefault="00797777" w:rsidP="00D2376D">
            <w:pPr>
              <w:spacing w:before="100" w:beforeAutospacing="1" w:after="100" w:afterAutospacing="1" w:line="360" w:lineRule="auto"/>
              <w:contextualSpacing/>
              <w:jc w:val="center"/>
              <w:rPr>
                <w:rFonts w:ascii="Arial Narrow" w:hAnsi="Arial Narrow" w:cs="Arial"/>
                <w:sz w:val="24"/>
                <w:szCs w:val="24"/>
              </w:rPr>
            </w:pPr>
            <w:r w:rsidRPr="00CD728B">
              <w:rPr>
                <w:rFonts w:ascii="Arial Narrow" w:hAnsi="Arial Narrow" w:cs="Arial"/>
                <w:sz w:val="24"/>
                <w:szCs w:val="24"/>
              </w:rPr>
              <w:t>81.32</w:t>
            </w:r>
          </w:p>
        </w:tc>
        <w:tc>
          <w:tcPr>
            <w:tcW w:w="1245"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797777" w:rsidRPr="00CD728B" w:rsidRDefault="00797777" w:rsidP="00D2376D">
            <w:pPr>
              <w:spacing w:before="100" w:beforeAutospacing="1" w:after="100" w:afterAutospacing="1" w:line="360" w:lineRule="auto"/>
              <w:contextualSpacing/>
              <w:jc w:val="center"/>
              <w:rPr>
                <w:rFonts w:ascii="Arial Narrow" w:hAnsi="Arial Narrow" w:cs="Arial"/>
                <w:sz w:val="24"/>
                <w:szCs w:val="24"/>
              </w:rPr>
            </w:pPr>
            <w:r w:rsidRPr="00CD728B">
              <w:rPr>
                <w:rFonts w:ascii="Arial Narrow" w:hAnsi="Arial Narrow" w:cs="Arial"/>
                <w:sz w:val="24"/>
                <w:szCs w:val="24"/>
              </w:rPr>
              <w:t>44.49</w:t>
            </w:r>
          </w:p>
        </w:tc>
      </w:tr>
      <w:tr w:rsidR="00797777" w:rsidRPr="00CD728B" w:rsidTr="006C72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0"/>
        </w:trPr>
        <w:tc>
          <w:tcPr>
            <w:tcW w:w="54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797777" w:rsidRPr="00CD728B" w:rsidRDefault="00797777"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Asamblea Legislativa del Distrito Federal</w:t>
            </w:r>
          </w:p>
        </w:tc>
        <w:tc>
          <w:tcPr>
            <w:tcW w:w="1134" w:type="dxa"/>
            <w:tcBorders>
              <w:top w:val="single" w:sz="4" w:space="0" w:color="auto"/>
              <w:left w:val="nil"/>
              <w:bottom w:val="single" w:sz="4" w:space="0" w:color="auto"/>
              <w:right w:val="single" w:sz="4" w:space="0" w:color="auto"/>
            </w:tcBorders>
            <w:shd w:val="clear" w:color="auto" w:fill="C9C9C9" w:themeFill="accent3" w:themeFillTint="99"/>
            <w:noWrap/>
            <w:vAlign w:val="bottom"/>
            <w:hideMark/>
          </w:tcPr>
          <w:p w:rsidR="00797777" w:rsidRPr="00CD728B" w:rsidRDefault="00797777" w:rsidP="00D2376D">
            <w:pPr>
              <w:spacing w:before="100" w:beforeAutospacing="1" w:after="100" w:afterAutospacing="1" w:line="360" w:lineRule="auto"/>
              <w:contextualSpacing/>
              <w:jc w:val="center"/>
              <w:rPr>
                <w:rFonts w:ascii="Arial Narrow" w:hAnsi="Arial Narrow" w:cs="Arial"/>
                <w:sz w:val="24"/>
                <w:szCs w:val="24"/>
              </w:rPr>
            </w:pPr>
            <w:r w:rsidRPr="00CD728B">
              <w:rPr>
                <w:rFonts w:ascii="Arial Narrow" w:hAnsi="Arial Narrow" w:cs="Arial"/>
                <w:sz w:val="24"/>
                <w:szCs w:val="24"/>
              </w:rPr>
              <w:t>60.51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797777" w:rsidRPr="00CD728B" w:rsidRDefault="00797777" w:rsidP="00D2376D">
            <w:pPr>
              <w:spacing w:before="100" w:beforeAutospacing="1" w:after="100" w:afterAutospacing="1" w:line="360" w:lineRule="auto"/>
              <w:contextualSpacing/>
              <w:jc w:val="center"/>
              <w:rPr>
                <w:rFonts w:ascii="Arial Narrow" w:hAnsi="Arial Narrow" w:cs="Arial"/>
                <w:sz w:val="24"/>
                <w:szCs w:val="24"/>
              </w:rPr>
            </w:pPr>
            <w:r w:rsidRPr="00CD728B">
              <w:rPr>
                <w:rFonts w:ascii="Arial Narrow" w:hAnsi="Arial Narrow" w:cs="Arial"/>
                <w:sz w:val="24"/>
                <w:szCs w:val="24"/>
              </w:rPr>
              <w:t>58.96</w:t>
            </w:r>
          </w:p>
        </w:tc>
        <w:tc>
          <w:tcPr>
            <w:tcW w:w="1245"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797777" w:rsidRPr="00CD728B" w:rsidRDefault="00797777" w:rsidP="00D2376D">
            <w:pPr>
              <w:spacing w:before="100" w:beforeAutospacing="1" w:after="100" w:afterAutospacing="1" w:line="360" w:lineRule="auto"/>
              <w:contextualSpacing/>
              <w:jc w:val="center"/>
              <w:rPr>
                <w:rFonts w:ascii="Arial Narrow" w:hAnsi="Arial Narrow" w:cs="Arial"/>
                <w:sz w:val="24"/>
                <w:szCs w:val="24"/>
              </w:rPr>
            </w:pPr>
            <w:r w:rsidRPr="00CD728B">
              <w:rPr>
                <w:rFonts w:ascii="Arial Narrow" w:hAnsi="Arial Narrow" w:cs="Arial"/>
                <w:sz w:val="24"/>
                <w:szCs w:val="24"/>
              </w:rPr>
              <w:t>62.05</w:t>
            </w:r>
          </w:p>
        </w:tc>
      </w:tr>
    </w:tbl>
    <w:p w:rsidR="006C722A" w:rsidRPr="006C722A" w:rsidRDefault="006C722A" w:rsidP="006C722A">
      <w:pPr>
        <w:spacing w:before="100" w:beforeAutospacing="1" w:after="100" w:afterAutospacing="1" w:line="360" w:lineRule="auto"/>
        <w:contextualSpacing/>
        <w:jc w:val="both"/>
        <w:rPr>
          <w:rFonts w:ascii="Arial Narrow" w:hAnsi="Arial Narrow" w:cs="Arial"/>
          <w:sz w:val="20"/>
          <w:szCs w:val="24"/>
        </w:rPr>
      </w:pPr>
      <w:r w:rsidRPr="006C722A">
        <w:rPr>
          <w:rFonts w:ascii="Arial Narrow" w:hAnsi="Arial Narrow" w:cs="Arial"/>
          <w:b/>
          <w:sz w:val="20"/>
          <w:szCs w:val="24"/>
        </w:rPr>
        <w:t>Nota metodológica</w:t>
      </w:r>
      <w:r w:rsidRPr="006C722A">
        <w:rPr>
          <w:rFonts w:ascii="Arial Narrow" w:hAnsi="Arial Narrow" w:cs="Arial"/>
          <w:sz w:val="20"/>
          <w:szCs w:val="24"/>
        </w:rPr>
        <w:t>: El IGOT se compone del promedio de ICOT-P</w:t>
      </w:r>
      <w:r w:rsidR="00623A69">
        <w:rPr>
          <w:rFonts w:ascii="Arial Narrow" w:hAnsi="Arial Narrow" w:cs="Arial"/>
          <w:sz w:val="20"/>
          <w:szCs w:val="24"/>
        </w:rPr>
        <w:t>T</w:t>
      </w:r>
      <w:r w:rsidRPr="006C722A">
        <w:rPr>
          <w:rFonts w:ascii="Arial Narrow" w:hAnsi="Arial Narrow" w:cs="Arial"/>
          <w:sz w:val="20"/>
          <w:szCs w:val="24"/>
        </w:rPr>
        <w:t xml:space="preserve"> e ICOT-PNT.</w:t>
      </w:r>
    </w:p>
    <w:p w:rsidR="00797777" w:rsidRPr="00CD728B" w:rsidRDefault="00797777"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 xml:space="preserve">En atención a la Tabla de Aplicabilidad realizada por la DEAEE del Instituto, las obligaciones que los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del Poder Legislativo de la Ciudad de México, deben actualizar y publicar en el SIPOT de la PNT, así como en sus respectivos portales de internet son las contempladas en los siguientes </w:t>
      </w:r>
      <w:r w:rsidR="009D7771">
        <w:rPr>
          <w:rFonts w:ascii="Arial Narrow" w:hAnsi="Arial Narrow" w:cs="Arial"/>
          <w:sz w:val="24"/>
          <w:szCs w:val="24"/>
        </w:rPr>
        <w:t>Artículo</w:t>
      </w:r>
      <w:r w:rsidRPr="00CD728B">
        <w:rPr>
          <w:rFonts w:ascii="Arial Narrow" w:hAnsi="Arial Narrow" w:cs="Arial"/>
          <w:sz w:val="24"/>
          <w:szCs w:val="24"/>
        </w:rPr>
        <w:t xml:space="preserve">s: </w:t>
      </w:r>
    </w:p>
    <w:p w:rsidR="00797777" w:rsidRPr="00CD728B" w:rsidRDefault="009D7771" w:rsidP="002E7D47">
      <w:pPr>
        <w:pStyle w:val="Prrafodelista"/>
        <w:numPr>
          <w:ilvl w:val="0"/>
          <w:numId w:val="22"/>
        </w:numPr>
        <w:spacing w:before="100" w:beforeAutospacing="1" w:after="100" w:afterAutospacing="1" w:line="360" w:lineRule="auto"/>
        <w:jc w:val="both"/>
        <w:rPr>
          <w:rFonts w:ascii="Arial Narrow" w:hAnsi="Arial Narrow" w:cs="Arial"/>
          <w:sz w:val="24"/>
          <w:szCs w:val="24"/>
          <w:lang w:val="es-ES_tradnl"/>
        </w:rPr>
      </w:pPr>
      <w:r>
        <w:rPr>
          <w:rFonts w:ascii="Arial Narrow" w:hAnsi="Arial Narrow" w:cs="Arial"/>
          <w:sz w:val="24"/>
          <w:szCs w:val="24"/>
          <w:lang w:val="es-ES_tradnl"/>
        </w:rPr>
        <w:t>Artículo</w:t>
      </w:r>
      <w:r w:rsidR="00797777" w:rsidRPr="00CD728B">
        <w:rPr>
          <w:rFonts w:ascii="Arial Narrow" w:hAnsi="Arial Narrow" w:cs="Arial"/>
          <w:sz w:val="24"/>
          <w:szCs w:val="24"/>
          <w:lang w:val="es-ES_tradnl"/>
        </w:rPr>
        <w:t xml:space="preserve"> 121. Obligaciones comunes,</w:t>
      </w:r>
    </w:p>
    <w:p w:rsidR="00797777" w:rsidRPr="00CD728B" w:rsidRDefault="009D7771" w:rsidP="002E7D47">
      <w:pPr>
        <w:pStyle w:val="Prrafodelista"/>
        <w:numPr>
          <w:ilvl w:val="0"/>
          <w:numId w:val="22"/>
        </w:numPr>
        <w:spacing w:before="100" w:beforeAutospacing="1" w:after="100" w:afterAutospacing="1" w:line="360" w:lineRule="auto"/>
        <w:jc w:val="both"/>
        <w:rPr>
          <w:rFonts w:ascii="Arial Narrow" w:hAnsi="Arial Narrow" w:cs="Arial"/>
          <w:sz w:val="24"/>
          <w:szCs w:val="24"/>
          <w:lang w:val="es-ES_tradnl"/>
        </w:rPr>
      </w:pPr>
      <w:r>
        <w:rPr>
          <w:rFonts w:ascii="Arial Narrow" w:hAnsi="Arial Narrow" w:cs="Arial"/>
          <w:sz w:val="24"/>
          <w:szCs w:val="24"/>
          <w:lang w:val="es-ES_tradnl"/>
        </w:rPr>
        <w:t>Artículo</w:t>
      </w:r>
      <w:r w:rsidR="00797777" w:rsidRPr="00CD728B">
        <w:rPr>
          <w:rFonts w:ascii="Arial Narrow" w:hAnsi="Arial Narrow" w:cs="Arial"/>
          <w:sz w:val="24"/>
          <w:szCs w:val="24"/>
          <w:lang w:val="es-ES_tradnl"/>
        </w:rPr>
        <w:t xml:space="preserve"> 125. Obligaciones específicas del Poder Legislativo,</w:t>
      </w:r>
    </w:p>
    <w:p w:rsidR="00797777" w:rsidRPr="00CD728B" w:rsidRDefault="009D7771" w:rsidP="002E7D47">
      <w:pPr>
        <w:pStyle w:val="Prrafodelista"/>
        <w:numPr>
          <w:ilvl w:val="0"/>
          <w:numId w:val="22"/>
        </w:numPr>
        <w:spacing w:before="100" w:beforeAutospacing="1" w:after="100" w:afterAutospacing="1" w:line="360" w:lineRule="auto"/>
        <w:jc w:val="both"/>
        <w:rPr>
          <w:rFonts w:ascii="Arial Narrow" w:hAnsi="Arial Narrow" w:cs="Arial"/>
          <w:sz w:val="24"/>
          <w:szCs w:val="24"/>
          <w:lang w:val="es-ES_tradnl"/>
        </w:rPr>
      </w:pPr>
      <w:r>
        <w:rPr>
          <w:rFonts w:ascii="Arial Narrow" w:hAnsi="Arial Narrow" w:cs="Arial"/>
          <w:sz w:val="24"/>
          <w:szCs w:val="24"/>
          <w:lang w:val="es-ES_tradnl"/>
        </w:rPr>
        <w:t>Artículo</w:t>
      </w:r>
      <w:r w:rsidR="00797777" w:rsidRPr="00CD728B">
        <w:rPr>
          <w:rFonts w:ascii="Arial Narrow" w:hAnsi="Arial Narrow" w:cs="Arial"/>
          <w:sz w:val="24"/>
          <w:szCs w:val="24"/>
          <w:lang w:val="es-ES_tradnl"/>
        </w:rPr>
        <w:t xml:space="preserve"> 127. Obligaciones específicas de la Auditoría Superior de la Ciudad de México, </w:t>
      </w:r>
    </w:p>
    <w:p w:rsidR="00797777" w:rsidRPr="00CD728B" w:rsidRDefault="009D7771" w:rsidP="002E7D47">
      <w:pPr>
        <w:pStyle w:val="Prrafodelista"/>
        <w:numPr>
          <w:ilvl w:val="0"/>
          <w:numId w:val="22"/>
        </w:numPr>
        <w:spacing w:before="100" w:beforeAutospacing="1" w:after="100" w:afterAutospacing="1" w:line="360" w:lineRule="auto"/>
        <w:jc w:val="both"/>
        <w:rPr>
          <w:rFonts w:ascii="Arial Narrow" w:hAnsi="Arial Narrow" w:cs="Arial"/>
          <w:sz w:val="24"/>
          <w:szCs w:val="24"/>
          <w:lang w:val="es-ES_tradnl"/>
        </w:rPr>
      </w:pPr>
      <w:r>
        <w:rPr>
          <w:rFonts w:ascii="Arial Narrow" w:hAnsi="Arial Narrow" w:cs="Arial"/>
          <w:sz w:val="24"/>
          <w:szCs w:val="24"/>
          <w:lang w:val="es-ES_tradnl"/>
        </w:rPr>
        <w:t>Artículo</w:t>
      </w:r>
      <w:r w:rsidR="00797777" w:rsidRPr="00CD728B">
        <w:rPr>
          <w:rFonts w:ascii="Arial Narrow" w:hAnsi="Arial Narrow" w:cs="Arial"/>
          <w:sz w:val="24"/>
          <w:szCs w:val="24"/>
          <w:lang w:val="es-ES_tradnl"/>
        </w:rPr>
        <w:t xml:space="preserve"> 145. Disposiciones Particulares,</w:t>
      </w:r>
    </w:p>
    <w:p w:rsidR="00797777" w:rsidRPr="00CD728B" w:rsidRDefault="009D7771" w:rsidP="002E7D47">
      <w:pPr>
        <w:pStyle w:val="Prrafodelista"/>
        <w:numPr>
          <w:ilvl w:val="0"/>
          <w:numId w:val="22"/>
        </w:numPr>
        <w:spacing w:before="100" w:beforeAutospacing="1" w:after="100" w:afterAutospacing="1" w:line="360" w:lineRule="auto"/>
        <w:jc w:val="both"/>
        <w:rPr>
          <w:rFonts w:ascii="Arial Narrow" w:hAnsi="Arial Narrow" w:cs="Arial"/>
          <w:sz w:val="24"/>
          <w:szCs w:val="24"/>
          <w:lang w:val="es-ES_tradnl"/>
        </w:rPr>
      </w:pPr>
      <w:r>
        <w:rPr>
          <w:rFonts w:ascii="Arial Narrow" w:hAnsi="Arial Narrow" w:cs="Arial"/>
          <w:sz w:val="24"/>
          <w:szCs w:val="24"/>
          <w:lang w:val="es-ES_tradnl"/>
        </w:rPr>
        <w:t>Artículo</w:t>
      </w:r>
      <w:r w:rsidR="00797777" w:rsidRPr="00CD728B">
        <w:rPr>
          <w:rFonts w:ascii="Arial Narrow" w:hAnsi="Arial Narrow" w:cs="Arial"/>
          <w:sz w:val="24"/>
          <w:szCs w:val="24"/>
          <w:lang w:val="es-ES_tradnl"/>
        </w:rPr>
        <w:t xml:space="preserve"> 146. Disposiciones Particulares, y </w:t>
      </w:r>
    </w:p>
    <w:p w:rsidR="00F52CAA" w:rsidRPr="00CD728B" w:rsidRDefault="009D7771" w:rsidP="00D2376D">
      <w:pPr>
        <w:pStyle w:val="Prrafodelista"/>
        <w:numPr>
          <w:ilvl w:val="0"/>
          <w:numId w:val="22"/>
        </w:numPr>
        <w:spacing w:before="100" w:beforeAutospacing="1" w:after="100" w:afterAutospacing="1" w:line="360" w:lineRule="auto"/>
        <w:jc w:val="both"/>
        <w:rPr>
          <w:rFonts w:ascii="Arial Narrow" w:hAnsi="Arial Narrow" w:cs="Arial"/>
          <w:sz w:val="24"/>
          <w:szCs w:val="24"/>
          <w:lang w:val="es-ES_tradnl"/>
        </w:rPr>
      </w:pPr>
      <w:r>
        <w:rPr>
          <w:rFonts w:ascii="Arial Narrow" w:hAnsi="Arial Narrow" w:cs="Arial"/>
          <w:sz w:val="24"/>
          <w:szCs w:val="24"/>
          <w:lang w:val="es-ES_tradnl"/>
        </w:rPr>
        <w:t>Artículo</w:t>
      </w:r>
      <w:r w:rsidR="00797777" w:rsidRPr="00CD728B">
        <w:rPr>
          <w:rFonts w:ascii="Arial Narrow" w:hAnsi="Arial Narrow" w:cs="Arial"/>
          <w:sz w:val="24"/>
          <w:szCs w:val="24"/>
          <w:lang w:val="es-ES_tradnl"/>
        </w:rPr>
        <w:t xml:space="preserve"> </w:t>
      </w:r>
      <w:r w:rsidR="00D2376D" w:rsidRPr="00CD728B">
        <w:rPr>
          <w:rFonts w:ascii="Arial Narrow" w:hAnsi="Arial Narrow" w:cs="Arial"/>
          <w:sz w:val="24"/>
          <w:szCs w:val="24"/>
          <w:lang w:val="es-ES_tradnl"/>
        </w:rPr>
        <w:t>147. Disposiciones Particulares.</w:t>
      </w:r>
    </w:p>
    <w:p w:rsidR="00797777" w:rsidRPr="00CD728B" w:rsidRDefault="00797777" w:rsidP="002E7D47">
      <w:pPr>
        <w:pStyle w:val="Ttulo3"/>
        <w:numPr>
          <w:ilvl w:val="1"/>
          <w:numId w:val="24"/>
        </w:numPr>
        <w:contextualSpacing/>
        <w:jc w:val="both"/>
        <w:rPr>
          <w:rFonts w:ascii="Arial Narrow" w:hAnsi="Arial Narrow"/>
          <w:b/>
          <w:color w:val="auto"/>
        </w:rPr>
      </w:pPr>
      <w:bookmarkStart w:id="47" w:name="_Toc14293748"/>
      <w:r w:rsidRPr="00CD728B">
        <w:rPr>
          <w:rFonts w:ascii="Arial Narrow" w:hAnsi="Arial Narrow"/>
          <w:b/>
          <w:color w:val="auto"/>
        </w:rPr>
        <w:t>Análisis global de cumplimiento del Poder Legislativo</w:t>
      </w:r>
      <w:bookmarkEnd w:id="47"/>
    </w:p>
    <w:p w:rsidR="00D2376D" w:rsidRPr="00CD728B" w:rsidRDefault="00D2376D" w:rsidP="00D2376D">
      <w:pPr>
        <w:rPr>
          <w:rFonts w:ascii="Arial Narrow" w:hAnsi="Arial Narrow"/>
        </w:rPr>
      </w:pPr>
    </w:p>
    <w:p w:rsidR="00797777" w:rsidRPr="00CD728B" w:rsidRDefault="00797777" w:rsidP="002E7D47">
      <w:pPr>
        <w:spacing w:before="100" w:beforeAutospacing="1" w:after="100" w:afterAutospacing="1" w:line="360" w:lineRule="auto"/>
        <w:contextualSpacing/>
        <w:jc w:val="both"/>
        <w:rPr>
          <w:rFonts w:ascii="Arial Narrow" w:hAnsi="Arial Narrow" w:cs="Arial"/>
          <w:sz w:val="24"/>
          <w:szCs w:val="24"/>
          <w:u w:val="single"/>
        </w:rPr>
      </w:pPr>
      <w:r w:rsidRPr="00CD728B">
        <w:rPr>
          <w:rFonts w:ascii="Arial Narrow" w:hAnsi="Arial Narrow" w:cs="Arial"/>
          <w:sz w:val="24"/>
          <w:szCs w:val="24"/>
          <w:u w:val="single"/>
        </w:rPr>
        <w:lastRenderedPageBreak/>
        <w:t xml:space="preserve">Índices Globales de Cumplimiento de las Obligaciones de Transparencia </w:t>
      </w:r>
    </w:p>
    <w:p w:rsidR="00D2376D" w:rsidRPr="00CD728B" w:rsidRDefault="00D2376D" w:rsidP="002E7D47">
      <w:pPr>
        <w:spacing w:before="100" w:beforeAutospacing="1" w:after="100" w:afterAutospacing="1" w:line="360" w:lineRule="auto"/>
        <w:contextualSpacing/>
        <w:jc w:val="both"/>
        <w:rPr>
          <w:rFonts w:ascii="Arial Narrow" w:hAnsi="Arial Narrow" w:cs="Arial"/>
          <w:sz w:val="24"/>
          <w:szCs w:val="24"/>
          <w:u w:val="single"/>
        </w:rPr>
      </w:pPr>
    </w:p>
    <w:p w:rsidR="00797777" w:rsidRPr="00CD728B" w:rsidRDefault="00797777"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 xml:space="preserve">Con relación al IGOT, la calificación más alta fue 100 y las más baja cero; obteniendo este ámbito una calificación promedio de 61.71; alcanzado un IGOT de 53.27% sobre la publicación de información en la PNT y un 70.14% en los portales institucionales de los </w:t>
      </w:r>
      <w:r w:rsidR="003C3757" w:rsidRPr="00CD728B">
        <w:rPr>
          <w:rFonts w:ascii="Arial Narrow" w:hAnsi="Arial Narrow" w:cs="Arial"/>
          <w:sz w:val="24"/>
          <w:szCs w:val="24"/>
        </w:rPr>
        <w:t>Sujetos Obligados</w:t>
      </w:r>
      <w:r w:rsidRPr="00CD728B">
        <w:rPr>
          <w:rFonts w:ascii="Arial Narrow" w:hAnsi="Arial Narrow" w:cs="Arial"/>
          <w:sz w:val="24"/>
          <w:szCs w:val="24"/>
        </w:rPr>
        <w:t>.</w:t>
      </w:r>
    </w:p>
    <w:p w:rsidR="00D2376D" w:rsidRPr="00CD728B" w:rsidRDefault="00D2376D" w:rsidP="002E7D47">
      <w:pPr>
        <w:spacing w:before="100" w:beforeAutospacing="1" w:after="100" w:afterAutospacing="1" w:line="360" w:lineRule="auto"/>
        <w:contextualSpacing/>
        <w:jc w:val="both"/>
        <w:rPr>
          <w:rFonts w:ascii="Arial Narrow" w:hAnsi="Arial Narrow" w:cs="Arial"/>
          <w:sz w:val="24"/>
          <w:szCs w:val="24"/>
        </w:rPr>
      </w:pPr>
    </w:p>
    <w:p w:rsidR="00797777" w:rsidRPr="00CD728B" w:rsidRDefault="00797777" w:rsidP="002E7D47">
      <w:pPr>
        <w:spacing w:before="100" w:beforeAutospacing="1" w:after="100" w:afterAutospacing="1" w:line="360" w:lineRule="auto"/>
        <w:contextualSpacing/>
        <w:jc w:val="both"/>
        <w:rPr>
          <w:rFonts w:ascii="Arial Narrow" w:hAnsi="Arial Narrow" w:cs="Arial"/>
          <w:sz w:val="24"/>
          <w:szCs w:val="24"/>
          <w:u w:val="single"/>
        </w:rPr>
      </w:pPr>
      <w:r w:rsidRPr="00CD728B">
        <w:rPr>
          <w:rFonts w:ascii="Arial Narrow" w:hAnsi="Arial Narrow" w:cs="Arial"/>
          <w:sz w:val="24"/>
          <w:szCs w:val="24"/>
          <w:u w:val="single"/>
        </w:rPr>
        <w:t xml:space="preserve">Cumplimiento diferenciado por </w:t>
      </w:r>
      <w:r w:rsidR="009D7771">
        <w:rPr>
          <w:rFonts w:ascii="Arial Narrow" w:hAnsi="Arial Narrow" w:cs="Arial"/>
          <w:sz w:val="24"/>
          <w:szCs w:val="24"/>
          <w:u w:val="single"/>
        </w:rPr>
        <w:t>Artículo</w:t>
      </w:r>
      <w:r w:rsidRPr="00CD728B">
        <w:rPr>
          <w:rFonts w:ascii="Arial Narrow" w:hAnsi="Arial Narrow" w:cs="Arial"/>
          <w:sz w:val="24"/>
          <w:szCs w:val="24"/>
          <w:u w:val="single"/>
        </w:rPr>
        <w:t xml:space="preserve">s </w:t>
      </w:r>
    </w:p>
    <w:p w:rsidR="00D2376D" w:rsidRPr="00CD728B" w:rsidRDefault="00D2376D" w:rsidP="002E7D47">
      <w:pPr>
        <w:spacing w:before="100" w:beforeAutospacing="1" w:after="100" w:afterAutospacing="1" w:line="360" w:lineRule="auto"/>
        <w:contextualSpacing/>
        <w:jc w:val="both"/>
        <w:rPr>
          <w:rFonts w:ascii="Arial Narrow" w:hAnsi="Arial Narrow" w:cs="Arial"/>
          <w:sz w:val="24"/>
          <w:szCs w:val="24"/>
          <w:u w:val="single"/>
        </w:rPr>
      </w:pPr>
    </w:p>
    <w:p w:rsidR="00797777" w:rsidRPr="00CD728B" w:rsidRDefault="00797777"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Con relación al tipo de obligaciones de transparencia, el Poder Legislativo ha incumplido parcialmente en la publicación y actualización de sus obligaciones comunes, con un ICP de 57.96%; asimismo, obtuvo un cumplimiento promedio parcial en</w:t>
      </w:r>
      <w:r w:rsidR="00F52CAA" w:rsidRPr="00CD728B">
        <w:rPr>
          <w:rFonts w:ascii="Arial Narrow" w:hAnsi="Arial Narrow" w:cs="Arial"/>
          <w:sz w:val="24"/>
          <w:szCs w:val="24"/>
        </w:rPr>
        <w:t xml:space="preserve"> las obligaciones específicas y </w:t>
      </w:r>
      <w:r w:rsidRPr="00CD728B">
        <w:rPr>
          <w:rFonts w:ascii="Arial Narrow" w:hAnsi="Arial Narrow" w:cs="Arial"/>
          <w:sz w:val="24"/>
          <w:szCs w:val="24"/>
        </w:rPr>
        <w:t>las disposiciones particulares entre 61.36% y 73.29%, respectivamente.</w:t>
      </w:r>
    </w:p>
    <w:p w:rsidR="00D2376D" w:rsidRPr="00CD728B" w:rsidRDefault="00D2376D" w:rsidP="002E7D47">
      <w:pPr>
        <w:spacing w:before="100" w:beforeAutospacing="1" w:after="100" w:afterAutospacing="1" w:line="360" w:lineRule="auto"/>
        <w:contextualSpacing/>
        <w:jc w:val="both"/>
        <w:rPr>
          <w:rFonts w:ascii="Arial Narrow" w:hAnsi="Arial Narrow" w:cs="Arial"/>
          <w:sz w:val="24"/>
          <w:szCs w:val="24"/>
        </w:rPr>
      </w:pPr>
    </w:p>
    <w:p w:rsidR="00797777" w:rsidRPr="00CD728B" w:rsidRDefault="00797777"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 xml:space="preserve">En esta misma línea, en el </w:t>
      </w:r>
      <w:r w:rsidR="009D7771">
        <w:rPr>
          <w:rFonts w:ascii="Arial Narrow" w:hAnsi="Arial Narrow" w:cs="Arial"/>
          <w:sz w:val="24"/>
          <w:szCs w:val="24"/>
        </w:rPr>
        <w:t>Artículo</w:t>
      </w:r>
      <w:r w:rsidRPr="00CD728B">
        <w:rPr>
          <w:rFonts w:ascii="Arial Narrow" w:hAnsi="Arial Narrow" w:cs="Arial"/>
          <w:sz w:val="24"/>
          <w:szCs w:val="24"/>
        </w:rPr>
        <w:t xml:space="preserve"> 121 obtuvo un ICP de 57.96%; en el 125, la ALDF un 57.13%, mientras que en el 127 la ASCDMX obtuvo 65.59%. En el 143, el promedio en conjunto fue de 87.5%; en el 145 </w:t>
      </w:r>
      <w:r w:rsidR="00F52CAA" w:rsidRPr="00CD728B">
        <w:rPr>
          <w:rFonts w:ascii="Arial Narrow" w:hAnsi="Arial Narrow" w:cs="Arial"/>
          <w:sz w:val="24"/>
          <w:szCs w:val="24"/>
        </w:rPr>
        <w:t xml:space="preserve">de </w:t>
      </w:r>
      <w:r w:rsidRPr="00CD728B">
        <w:rPr>
          <w:rFonts w:ascii="Arial Narrow" w:hAnsi="Arial Narrow" w:cs="Arial"/>
          <w:sz w:val="24"/>
          <w:szCs w:val="24"/>
        </w:rPr>
        <w:t xml:space="preserve">100%; en el 146 un ICP de 50%; finalmente, en el </w:t>
      </w:r>
      <w:r w:rsidR="009D7771">
        <w:rPr>
          <w:rFonts w:ascii="Arial Narrow" w:hAnsi="Arial Narrow" w:cs="Arial"/>
          <w:sz w:val="24"/>
          <w:szCs w:val="24"/>
        </w:rPr>
        <w:t>Artículo</w:t>
      </w:r>
      <w:r w:rsidRPr="00CD728B">
        <w:rPr>
          <w:rFonts w:ascii="Arial Narrow" w:hAnsi="Arial Narrow" w:cs="Arial"/>
          <w:sz w:val="24"/>
          <w:szCs w:val="24"/>
        </w:rPr>
        <w:t xml:space="preserve"> 147 registró un incumplimiento parcial con un ICP de 55.67%.</w:t>
      </w:r>
    </w:p>
    <w:p w:rsidR="00797777" w:rsidRPr="00CD728B" w:rsidRDefault="00797777" w:rsidP="002E7D47">
      <w:pPr>
        <w:pStyle w:val="Ttulo3"/>
        <w:numPr>
          <w:ilvl w:val="1"/>
          <w:numId w:val="24"/>
        </w:numPr>
        <w:contextualSpacing/>
        <w:jc w:val="both"/>
        <w:rPr>
          <w:rFonts w:ascii="Arial Narrow" w:hAnsi="Arial Narrow"/>
          <w:b/>
          <w:color w:val="auto"/>
        </w:rPr>
      </w:pPr>
      <w:bookmarkStart w:id="48" w:name="_Toc14293749"/>
      <w:r w:rsidRPr="00CD728B">
        <w:rPr>
          <w:rFonts w:ascii="Arial Narrow" w:hAnsi="Arial Narrow"/>
          <w:b/>
          <w:color w:val="auto"/>
        </w:rPr>
        <w:lastRenderedPageBreak/>
        <w:t xml:space="preserve">Análisis del </w:t>
      </w:r>
      <w:r w:rsidR="009D7771">
        <w:rPr>
          <w:rFonts w:ascii="Arial Narrow" w:hAnsi="Arial Narrow"/>
          <w:b/>
          <w:color w:val="auto"/>
        </w:rPr>
        <w:t>Artículo</w:t>
      </w:r>
      <w:r w:rsidRPr="00CD728B">
        <w:rPr>
          <w:rFonts w:ascii="Arial Narrow" w:hAnsi="Arial Narrow"/>
          <w:b/>
          <w:color w:val="auto"/>
        </w:rPr>
        <w:t xml:space="preserve"> 121 y sus respectivas fracciones</w:t>
      </w:r>
      <w:bookmarkEnd w:id="48"/>
    </w:p>
    <w:p w:rsidR="00797777" w:rsidRPr="00CD728B" w:rsidRDefault="00797777" w:rsidP="002E7D47">
      <w:pPr>
        <w:spacing w:before="100" w:beforeAutospacing="1" w:after="100" w:afterAutospacing="1" w:line="360" w:lineRule="auto"/>
        <w:contextualSpacing/>
        <w:jc w:val="both"/>
        <w:rPr>
          <w:rFonts w:ascii="Arial Narrow" w:hAnsi="Arial Narrow" w:cs="Arial"/>
          <w:b/>
          <w:bCs/>
          <w:sz w:val="24"/>
          <w:szCs w:val="24"/>
        </w:rPr>
      </w:pPr>
      <w:r w:rsidRPr="00CD728B">
        <w:rPr>
          <w:rFonts w:ascii="Arial Narrow" w:hAnsi="Arial Narrow"/>
          <w:noProof/>
          <w:sz w:val="24"/>
          <w:szCs w:val="24"/>
          <w:lang w:val="es-MX" w:eastAsia="es-MX"/>
        </w:rPr>
        <w:drawing>
          <wp:inline distT="0" distB="0" distL="0" distR="0" wp14:anchorId="129196B2" wp14:editId="764ED37F">
            <wp:extent cx="4572000" cy="2743200"/>
            <wp:effectExtent l="0" t="0" r="0" b="0"/>
            <wp:docPr id="31" name="Gráfico 31">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7931550-B5B5-49C1-A8D4-1070B7A48B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797777" w:rsidRPr="00CD728B" w:rsidRDefault="001639CC" w:rsidP="002E7D47">
      <w:pPr>
        <w:spacing w:before="100" w:beforeAutospacing="1" w:after="100" w:afterAutospacing="1" w:line="360" w:lineRule="auto"/>
        <w:contextualSpacing/>
        <w:jc w:val="both"/>
        <w:rPr>
          <w:rFonts w:ascii="Arial Narrow" w:hAnsi="Arial Narrow" w:cs="Arial"/>
          <w:sz w:val="24"/>
          <w:szCs w:val="24"/>
        </w:rPr>
      </w:pPr>
      <w:r>
        <w:rPr>
          <w:rFonts w:ascii="Arial Narrow" w:hAnsi="Arial Narrow" w:cs="Arial"/>
          <w:sz w:val="24"/>
          <w:szCs w:val="24"/>
        </w:rPr>
        <w:t xml:space="preserve">En este </w:t>
      </w:r>
      <w:r w:rsidR="009D7771">
        <w:rPr>
          <w:rFonts w:ascii="Arial Narrow" w:hAnsi="Arial Narrow" w:cs="Arial"/>
          <w:sz w:val="24"/>
          <w:szCs w:val="24"/>
        </w:rPr>
        <w:t>Artículo</w:t>
      </w:r>
      <w:r>
        <w:rPr>
          <w:rFonts w:ascii="Arial Narrow" w:hAnsi="Arial Narrow" w:cs="Arial"/>
          <w:sz w:val="24"/>
          <w:szCs w:val="24"/>
        </w:rPr>
        <w:t xml:space="preserve"> obtuvo </w:t>
      </w:r>
      <w:r w:rsidR="00797777" w:rsidRPr="00CD728B">
        <w:rPr>
          <w:rFonts w:ascii="Arial Narrow" w:hAnsi="Arial Narrow" w:cs="Arial"/>
          <w:sz w:val="24"/>
          <w:szCs w:val="24"/>
        </w:rPr>
        <w:t xml:space="preserve">un ICP de 57.96%; por lo que se encuentra dentro del área de incumplimiento parcial; la ASCDMX tuvo 53.28% y la ALDF 62.64%. Las fracciones con mayor área de oportunidad son las siguientes: </w:t>
      </w:r>
    </w:p>
    <w:p w:rsidR="00797777" w:rsidRPr="00CD728B" w:rsidRDefault="00797777" w:rsidP="002E7D47">
      <w:pPr>
        <w:pStyle w:val="Prrafodelista"/>
        <w:numPr>
          <w:ilvl w:val="0"/>
          <w:numId w:val="2"/>
        </w:numPr>
        <w:spacing w:before="100" w:beforeAutospacing="1" w:after="100" w:afterAutospacing="1" w:line="360" w:lineRule="auto"/>
        <w:jc w:val="both"/>
        <w:rPr>
          <w:rFonts w:ascii="Arial Narrow" w:hAnsi="Arial Narrow" w:cs="Arial"/>
          <w:sz w:val="24"/>
          <w:szCs w:val="24"/>
        </w:rPr>
      </w:pPr>
      <w:r w:rsidRPr="00CD728B">
        <w:rPr>
          <w:rFonts w:ascii="Arial Narrow" w:hAnsi="Arial Narrow" w:cs="Arial"/>
          <w:sz w:val="24"/>
          <w:szCs w:val="24"/>
        </w:rPr>
        <w:t xml:space="preserve">Fracción XLV, con un ICP de 35.93%, en la cual se solicita publicar información sobre los estudios financiados con recursos públicos. Los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no actualizaron la información conforme indica la normatividad vigente; po</w:t>
      </w:r>
      <w:r w:rsidR="00D2376D" w:rsidRPr="00CD728B">
        <w:rPr>
          <w:rFonts w:ascii="Arial Narrow" w:hAnsi="Arial Narrow" w:cs="Arial"/>
          <w:sz w:val="24"/>
          <w:szCs w:val="24"/>
        </w:rPr>
        <w:t>r lo que no se puede consultar.</w:t>
      </w:r>
    </w:p>
    <w:p w:rsidR="00D2376D" w:rsidRPr="00CD728B" w:rsidRDefault="00D2376D" w:rsidP="00D2376D">
      <w:pPr>
        <w:pStyle w:val="Prrafodelista"/>
        <w:spacing w:before="100" w:beforeAutospacing="1" w:after="100" w:afterAutospacing="1" w:line="360" w:lineRule="auto"/>
        <w:jc w:val="both"/>
        <w:rPr>
          <w:rFonts w:ascii="Arial Narrow" w:hAnsi="Arial Narrow" w:cs="Arial"/>
          <w:sz w:val="24"/>
          <w:szCs w:val="24"/>
        </w:rPr>
      </w:pPr>
    </w:p>
    <w:p w:rsidR="00D2376D" w:rsidRPr="00CD728B" w:rsidRDefault="00797777" w:rsidP="00D2376D">
      <w:pPr>
        <w:pStyle w:val="Prrafodelista"/>
        <w:numPr>
          <w:ilvl w:val="0"/>
          <w:numId w:val="2"/>
        </w:numPr>
        <w:spacing w:before="100" w:beforeAutospacing="1" w:after="100" w:afterAutospacing="1" w:line="360" w:lineRule="auto"/>
        <w:jc w:val="both"/>
        <w:rPr>
          <w:rFonts w:ascii="Arial Narrow" w:hAnsi="Arial Narrow" w:cs="Arial"/>
          <w:sz w:val="24"/>
          <w:szCs w:val="24"/>
        </w:rPr>
      </w:pPr>
      <w:r w:rsidRPr="00CD728B">
        <w:rPr>
          <w:rFonts w:ascii="Arial Narrow" w:hAnsi="Arial Narrow" w:cs="Arial"/>
          <w:sz w:val="24"/>
          <w:szCs w:val="24"/>
        </w:rPr>
        <w:t xml:space="preserve">En la fracción XLI, con un ICP de 37.5%, la cual hace referencia a la publicación de los programas que ofrecen, incluyendo información sobre la población, objetivo y destino, así como los trámites, tiempos de respuesta, requisitos y formatos para acceder a los mismos. Los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señalan en este criterio la no aplicabilidad del mismo, lo cual es incorrecto de conformidad con su Tabla de Aplicabilidad.</w:t>
      </w:r>
    </w:p>
    <w:p w:rsidR="00D2376D" w:rsidRPr="00CD728B" w:rsidRDefault="00D2376D" w:rsidP="00D2376D">
      <w:pPr>
        <w:pStyle w:val="Prrafodelista"/>
        <w:spacing w:before="100" w:beforeAutospacing="1" w:after="100" w:afterAutospacing="1" w:line="360" w:lineRule="auto"/>
        <w:jc w:val="both"/>
        <w:rPr>
          <w:rFonts w:ascii="Arial Narrow" w:hAnsi="Arial Narrow" w:cs="Arial"/>
          <w:sz w:val="24"/>
          <w:szCs w:val="24"/>
        </w:rPr>
      </w:pPr>
    </w:p>
    <w:p w:rsidR="00D2376D" w:rsidRPr="00CD728B" w:rsidRDefault="00797777" w:rsidP="00D2376D">
      <w:pPr>
        <w:pStyle w:val="Prrafodelista"/>
        <w:numPr>
          <w:ilvl w:val="0"/>
          <w:numId w:val="2"/>
        </w:numPr>
        <w:spacing w:before="100" w:beforeAutospacing="1" w:after="100" w:afterAutospacing="1" w:line="360" w:lineRule="auto"/>
        <w:jc w:val="both"/>
        <w:rPr>
          <w:rFonts w:ascii="Arial Narrow" w:hAnsi="Arial Narrow" w:cs="Arial"/>
          <w:sz w:val="24"/>
          <w:szCs w:val="24"/>
        </w:rPr>
      </w:pPr>
      <w:r w:rsidRPr="00CD728B">
        <w:rPr>
          <w:rFonts w:ascii="Arial Narrow" w:hAnsi="Arial Narrow" w:cs="Arial"/>
          <w:sz w:val="24"/>
          <w:szCs w:val="24"/>
        </w:rPr>
        <w:lastRenderedPageBreak/>
        <w:t>Fracción LIV, con un ICP de 37.5%, establece la publicación de incentivos, condonaciones o reducciones fiscales; concesiones, permisos o licencias por virtud de las cuales se usen, gocen, disfruten o exploten bienes públicos, se ejerzan actos o se desarrolle cualquier actividad de interés público o se opere en auxilio y colaboración de la autoridad, se perciban ingresos de ellas, se reciban o permitan el ejercicio de gasto público, deberán señalar las personas beneficiadas, la temporalidad, los montos y todo aquello relacionado con el acto administrativo. En este caso, la ALDF publica: “En la Asamblea Legislativa del Distrito Federal no existen Programas de Servicios, Infraestructura y de Subsidio”. De acuerdo a su tabla de aplicabilidad, la información referente a este rubro no le aplica, sin embargo, su leyenda deberá estar fundada y motivada.</w:t>
      </w:r>
    </w:p>
    <w:p w:rsidR="00D2376D" w:rsidRPr="00CD728B" w:rsidRDefault="00D2376D" w:rsidP="00D2376D">
      <w:pPr>
        <w:pStyle w:val="Prrafodelista"/>
        <w:spacing w:before="100" w:beforeAutospacing="1" w:after="100" w:afterAutospacing="1" w:line="360" w:lineRule="auto"/>
        <w:jc w:val="both"/>
        <w:rPr>
          <w:rFonts w:ascii="Arial Narrow" w:hAnsi="Arial Narrow" w:cs="Arial"/>
          <w:sz w:val="24"/>
          <w:szCs w:val="24"/>
        </w:rPr>
      </w:pPr>
    </w:p>
    <w:p w:rsidR="00797777" w:rsidRPr="00CD728B" w:rsidRDefault="00797777" w:rsidP="002E7D47">
      <w:pPr>
        <w:pStyle w:val="Prrafodelista"/>
        <w:numPr>
          <w:ilvl w:val="0"/>
          <w:numId w:val="2"/>
        </w:numPr>
        <w:spacing w:before="100" w:beforeAutospacing="1" w:after="100" w:afterAutospacing="1" w:line="360" w:lineRule="auto"/>
        <w:jc w:val="both"/>
        <w:rPr>
          <w:rFonts w:ascii="Arial Narrow" w:hAnsi="Arial Narrow" w:cs="Arial"/>
          <w:sz w:val="24"/>
          <w:szCs w:val="24"/>
        </w:rPr>
      </w:pPr>
      <w:r w:rsidRPr="00CD728B">
        <w:rPr>
          <w:rFonts w:ascii="Arial Narrow" w:hAnsi="Arial Narrow" w:cs="Arial"/>
          <w:sz w:val="24"/>
          <w:szCs w:val="24"/>
        </w:rPr>
        <w:t xml:space="preserve">Fracción XXVI, con un ICP de 46.87%, relativa a los informes de resultados de las auditorías al ejercicio presupuestal y revisiones, que contenga a) Los resultados de todo tipo de auditorías concluidas, hechas al ejercicio presupuestal de cada uno de los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b) El número y tipo de auditorías realizadas en el ejercicio presupuestario respectivo, así como el órgano que lo realizó; c) Número total de observaciones determinadas en los resultados de auditoría por cada rubro, sujeto a revisión y las sanciones o medidas correctivas impuestas; y d) Respecto del seguimiento de los resultados de auditorías, el total de las aclaraciones efectuadas por el </w:t>
      </w:r>
      <w:r w:rsidR="005A4A11" w:rsidRPr="00CD728B">
        <w:rPr>
          <w:rFonts w:ascii="Arial Narrow" w:hAnsi="Arial Narrow" w:cs="Arial"/>
          <w:sz w:val="24"/>
          <w:szCs w:val="24"/>
        </w:rPr>
        <w:t>Sujeto Obligado</w:t>
      </w:r>
      <w:r w:rsidRPr="00CD728B">
        <w:rPr>
          <w:rFonts w:ascii="Arial Narrow" w:hAnsi="Arial Narrow" w:cs="Arial"/>
          <w:sz w:val="24"/>
          <w:szCs w:val="24"/>
        </w:rPr>
        <w:t>. En este rubro, la ALDF señala la no aplicabilidad, y no publica información al respecto, lo cual es incorrecto de conformidad con su Tabla de Aplicabilidad.</w:t>
      </w:r>
    </w:p>
    <w:p w:rsidR="00797777" w:rsidRPr="00CD728B" w:rsidRDefault="00797777" w:rsidP="002E7D47">
      <w:pPr>
        <w:pStyle w:val="Ttulo3"/>
        <w:numPr>
          <w:ilvl w:val="1"/>
          <w:numId w:val="24"/>
        </w:numPr>
        <w:contextualSpacing/>
        <w:jc w:val="both"/>
        <w:rPr>
          <w:rFonts w:ascii="Arial Narrow" w:hAnsi="Arial Narrow"/>
          <w:b/>
          <w:color w:val="auto"/>
        </w:rPr>
      </w:pPr>
      <w:bookmarkStart w:id="49" w:name="_Toc14293750"/>
      <w:r w:rsidRPr="00CD728B">
        <w:rPr>
          <w:rFonts w:ascii="Arial Narrow" w:hAnsi="Arial Narrow"/>
          <w:b/>
          <w:color w:val="auto"/>
        </w:rPr>
        <w:t xml:space="preserve">Análisis del </w:t>
      </w:r>
      <w:r w:rsidR="009D7771">
        <w:rPr>
          <w:rFonts w:ascii="Arial Narrow" w:hAnsi="Arial Narrow"/>
          <w:b/>
          <w:color w:val="auto"/>
        </w:rPr>
        <w:t>Artículo</w:t>
      </w:r>
      <w:r w:rsidRPr="00CD728B">
        <w:rPr>
          <w:rFonts w:ascii="Arial Narrow" w:hAnsi="Arial Narrow"/>
          <w:b/>
          <w:color w:val="auto"/>
        </w:rPr>
        <w:t xml:space="preserve"> 125 y sus respectivas fracciones</w:t>
      </w:r>
      <w:bookmarkEnd w:id="49"/>
    </w:p>
    <w:p w:rsidR="001639CC" w:rsidRPr="00CD728B" w:rsidRDefault="00797777" w:rsidP="001639CC">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 xml:space="preserve">Se trata de un </w:t>
      </w:r>
      <w:r w:rsidR="009D7771">
        <w:rPr>
          <w:rFonts w:ascii="Arial Narrow" w:hAnsi="Arial Narrow" w:cs="Arial"/>
          <w:sz w:val="24"/>
          <w:szCs w:val="24"/>
        </w:rPr>
        <w:t>Artículo</w:t>
      </w:r>
      <w:r w:rsidRPr="00CD728B">
        <w:rPr>
          <w:rFonts w:ascii="Arial Narrow" w:hAnsi="Arial Narrow" w:cs="Arial"/>
          <w:sz w:val="24"/>
          <w:szCs w:val="24"/>
        </w:rPr>
        <w:t xml:space="preserve"> específico para la Asamblea Legislativa del Distrito Federal, en el cual obtuvo 57.13% de ICP; por lo que se encuentra dentro del área de incumplimiento parcial. En esta línea, las fracciones que t</w:t>
      </w:r>
      <w:r w:rsidR="001639CC">
        <w:rPr>
          <w:rFonts w:ascii="Arial Narrow" w:hAnsi="Arial Narrow" w:cs="Arial"/>
          <w:sz w:val="24"/>
          <w:szCs w:val="24"/>
        </w:rPr>
        <w:t xml:space="preserve">ienen mayor área de oportunidad, ya que se colocaron en un </w:t>
      </w:r>
      <w:r w:rsidR="001639CC" w:rsidRPr="00CD728B">
        <w:rPr>
          <w:rFonts w:ascii="Arial Narrow" w:hAnsi="Arial Narrow" w:cs="Arial"/>
          <w:sz w:val="24"/>
          <w:szCs w:val="24"/>
        </w:rPr>
        <w:t xml:space="preserve">cumplimiento parcial entre </w:t>
      </w:r>
      <w:r w:rsidR="00474B82">
        <w:rPr>
          <w:rFonts w:ascii="Arial Narrow" w:hAnsi="Arial Narrow" w:cs="Arial"/>
          <w:sz w:val="24"/>
          <w:szCs w:val="24"/>
        </w:rPr>
        <w:t>72.91</w:t>
      </w:r>
      <w:r w:rsidR="001639CC" w:rsidRPr="00CD728B">
        <w:rPr>
          <w:rFonts w:ascii="Arial Narrow" w:hAnsi="Arial Narrow" w:cs="Arial"/>
          <w:sz w:val="24"/>
          <w:szCs w:val="24"/>
        </w:rPr>
        <w:t xml:space="preserve">% y </w:t>
      </w:r>
      <w:r w:rsidR="001639CC">
        <w:rPr>
          <w:rFonts w:ascii="Arial Narrow" w:hAnsi="Arial Narrow" w:cs="Arial"/>
          <w:sz w:val="24"/>
          <w:szCs w:val="24"/>
        </w:rPr>
        <w:t>75% son las siguientes:</w:t>
      </w:r>
    </w:p>
    <w:p w:rsidR="00797777" w:rsidRPr="00CD728B" w:rsidRDefault="00797777" w:rsidP="002E7D47">
      <w:pPr>
        <w:spacing w:before="100" w:beforeAutospacing="1" w:after="100" w:afterAutospacing="1" w:line="360" w:lineRule="auto"/>
        <w:contextualSpacing/>
        <w:jc w:val="both"/>
        <w:rPr>
          <w:rFonts w:ascii="Arial Narrow" w:hAnsi="Arial Narrow" w:cs="Arial"/>
          <w:sz w:val="24"/>
          <w:szCs w:val="24"/>
        </w:rPr>
      </w:pPr>
    </w:p>
    <w:p w:rsidR="005A7014" w:rsidRPr="00E87AA6" w:rsidRDefault="005A7014" w:rsidP="005A7014">
      <w:pPr>
        <w:pStyle w:val="Prrafodelista"/>
        <w:numPr>
          <w:ilvl w:val="0"/>
          <w:numId w:val="2"/>
        </w:numPr>
        <w:spacing w:line="360" w:lineRule="auto"/>
        <w:jc w:val="both"/>
        <w:rPr>
          <w:rFonts w:ascii="Arial Narrow" w:hAnsi="Arial Narrow" w:cs="Arial"/>
          <w:sz w:val="24"/>
          <w:szCs w:val="24"/>
        </w:rPr>
      </w:pPr>
      <w:r w:rsidRPr="00E87AA6">
        <w:rPr>
          <w:rFonts w:ascii="Arial Narrow" w:hAnsi="Arial Narrow" w:cs="Arial"/>
          <w:sz w:val="24"/>
          <w:szCs w:val="24"/>
        </w:rPr>
        <w:t xml:space="preserve">Fracción XX con un ICP de 72.91 % consistente en la asignación y destino final de los bienes materiales; se identificó que no actualizaron la información conforme indica la normatividad vigente, misma que establece que debe ser de manera anual. </w:t>
      </w:r>
    </w:p>
    <w:p w:rsidR="005A7014" w:rsidRPr="00E87AA6" w:rsidRDefault="005A7014" w:rsidP="005A7014">
      <w:pPr>
        <w:rPr>
          <w:rFonts w:ascii="Arial Narrow" w:hAnsi="Arial Narrow" w:cs="Arial"/>
          <w:sz w:val="24"/>
          <w:szCs w:val="24"/>
          <w:highlight w:val="yellow"/>
          <w:lang w:val="es-ES"/>
        </w:rPr>
      </w:pPr>
    </w:p>
    <w:p w:rsidR="00074645" w:rsidRPr="00074645" w:rsidRDefault="005A7014" w:rsidP="00074645">
      <w:pPr>
        <w:pStyle w:val="Prrafodelista"/>
        <w:numPr>
          <w:ilvl w:val="0"/>
          <w:numId w:val="2"/>
        </w:numPr>
        <w:spacing w:line="360" w:lineRule="auto"/>
        <w:jc w:val="both"/>
        <w:rPr>
          <w:rFonts w:ascii="Arial Narrow" w:hAnsi="Arial Narrow" w:cs="Arial"/>
          <w:sz w:val="24"/>
          <w:szCs w:val="24"/>
        </w:rPr>
      </w:pPr>
      <w:r w:rsidRPr="00E87AA6">
        <w:rPr>
          <w:rFonts w:ascii="Arial Narrow" w:hAnsi="Arial Narrow" w:cs="Arial"/>
          <w:sz w:val="24"/>
          <w:szCs w:val="24"/>
        </w:rPr>
        <w:t>Fracción II con un ICP del 75% en la que se mandata la publicación de la agenda legislativa; se identificó que no actualizaron la información conforme indica la normatividad vigente, toda vez que la misma se debe publicar de manera mensual.</w:t>
      </w:r>
    </w:p>
    <w:p w:rsidR="00074645" w:rsidRPr="00074645" w:rsidRDefault="00074645" w:rsidP="00074645">
      <w:pPr>
        <w:pStyle w:val="Prrafodelista"/>
        <w:spacing w:line="360" w:lineRule="auto"/>
        <w:jc w:val="both"/>
        <w:rPr>
          <w:rFonts w:ascii="Arial Narrow" w:hAnsi="Arial Narrow" w:cs="Arial"/>
          <w:sz w:val="24"/>
          <w:szCs w:val="24"/>
        </w:rPr>
      </w:pPr>
    </w:p>
    <w:p w:rsidR="005A7014" w:rsidRPr="00E87AA6" w:rsidRDefault="005A7014" w:rsidP="005A7014">
      <w:pPr>
        <w:pStyle w:val="Prrafodelista"/>
        <w:numPr>
          <w:ilvl w:val="0"/>
          <w:numId w:val="2"/>
        </w:numPr>
        <w:spacing w:line="360" w:lineRule="auto"/>
        <w:jc w:val="both"/>
        <w:rPr>
          <w:rFonts w:ascii="Arial Narrow" w:hAnsi="Arial Narrow" w:cs="Arial"/>
          <w:sz w:val="24"/>
          <w:szCs w:val="24"/>
        </w:rPr>
      </w:pPr>
      <w:r w:rsidRPr="00E87AA6">
        <w:rPr>
          <w:rFonts w:ascii="Arial Narrow" w:hAnsi="Arial Narrow" w:cs="Arial"/>
          <w:sz w:val="24"/>
          <w:szCs w:val="24"/>
        </w:rPr>
        <w:t>Fracción VI con un ICP de 75% respecto de la publicación y actualización del diario de debates; se identificó que no actualizaron la información conforme indica la normatividad vigente, en donde se establece que deben publ</w:t>
      </w:r>
      <w:r>
        <w:rPr>
          <w:rFonts w:ascii="Arial Narrow" w:hAnsi="Arial Narrow" w:cs="Arial"/>
          <w:sz w:val="24"/>
          <w:szCs w:val="24"/>
        </w:rPr>
        <w:t xml:space="preserve">icar la información en un plazo </w:t>
      </w:r>
      <w:r w:rsidRPr="00E87AA6">
        <w:rPr>
          <w:rFonts w:ascii="Arial Narrow" w:hAnsi="Arial Narrow" w:cs="Arial"/>
          <w:sz w:val="24"/>
          <w:szCs w:val="24"/>
        </w:rPr>
        <w:t xml:space="preserve"> no mayor a diez días en que se haya llevado a cabo la sesión.</w:t>
      </w:r>
    </w:p>
    <w:p w:rsidR="005A7014" w:rsidRPr="00FC5D70" w:rsidRDefault="005A7014" w:rsidP="005A7014">
      <w:pPr>
        <w:pStyle w:val="Prrafodelista"/>
        <w:rPr>
          <w:rFonts w:ascii="Arial Narrow" w:hAnsi="Arial Narrow" w:cs="Arial"/>
          <w:sz w:val="24"/>
          <w:szCs w:val="24"/>
        </w:rPr>
      </w:pPr>
    </w:p>
    <w:p w:rsidR="005A7014" w:rsidRPr="00AB42E6" w:rsidRDefault="005A7014" w:rsidP="005A7014">
      <w:pPr>
        <w:pStyle w:val="Prrafodelista"/>
        <w:numPr>
          <w:ilvl w:val="0"/>
          <w:numId w:val="34"/>
        </w:numPr>
        <w:spacing w:line="360" w:lineRule="auto"/>
        <w:jc w:val="both"/>
        <w:rPr>
          <w:rFonts w:ascii="Arial Narrow" w:hAnsi="Arial Narrow" w:cs="Arial"/>
          <w:sz w:val="24"/>
          <w:szCs w:val="24"/>
        </w:rPr>
      </w:pPr>
      <w:r w:rsidRPr="00AB42E6">
        <w:rPr>
          <w:rFonts w:ascii="Arial Narrow" w:hAnsi="Arial Narrow" w:cs="Arial"/>
          <w:sz w:val="24"/>
          <w:szCs w:val="24"/>
        </w:rPr>
        <w:t>Fracción X con un ICP de 75 % sobre la publicación de las iniciativas de ley o decretos, Puntos de Acuerdo, la fecha en la que se recibió, las Comisiones a las que se turnaron, los dictámenes que en su caso recaigan sobre las mismas; se identificó que no actualizaron la información conforme indica la normatividad vigente</w:t>
      </w:r>
      <w:r>
        <w:rPr>
          <w:rFonts w:ascii="Arial Narrow" w:hAnsi="Arial Narrow" w:cs="Arial"/>
          <w:sz w:val="24"/>
          <w:szCs w:val="24"/>
        </w:rPr>
        <w:t>,</w:t>
      </w:r>
      <w:r w:rsidRPr="00AB42E6">
        <w:rPr>
          <w:rFonts w:ascii="Arial Narrow" w:hAnsi="Arial Narrow" w:cs="Arial"/>
          <w:sz w:val="24"/>
          <w:szCs w:val="24"/>
        </w:rPr>
        <w:t xml:space="preserve"> ya sea por cada sesión del Pleno o de acuerdo a la normatividad de la Asamblea Legislativa del Distrito Federal.</w:t>
      </w:r>
    </w:p>
    <w:p w:rsidR="00474B82" w:rsidRPr="00474B82" w:rsidRDefault="001639CC" w:rsidP="00474B82">
      <w:pPr>
        <w:spacing w:before="100" w:beforeAutospacing="1" w:after="100" w:afterAutospacing="1" w:line="360" w:lineRule="auto"/>
        <w:jc w:val="both"/>
        <w:rPr>
          <w:rFonts w:ascii="Arial Narrow" w:hAnsi="Arial Narrow" w:cs="Arial"/>
          <w:sz w:val="24"/>
          <w:szCs w:val="24"/>
        </w:rPr>
      </w:pPr>
      <w:r w:rsidRPr="001639CC">
        <w:rPr>
          <w:rFonts w:ascii="Arial Narrow" w:hAnsi="Arial Narrow" w:cs="Arial"/>
          <w:sz w:val="24"/>
          <w:szCs w:val="24"/>
        </w:rPr>
        <w:t>De igual forma, l</w:t>
      </w:r>
      <w:r>
        <w:rPr>
          <w:rFonts w:ascii="Arial Narrow" w:hAnsi="Arial Narrow" w:cs="Arial"/>
          <w:sz w:val="24"/>
          <w:szCs w:val="24"/>
        </w:rPr>
        <w:t>a</w:t>
      </w:r>
      <w:r w:rsidR="009D7771">
        <w:rPr>
          <w:rFonts w:ascii="Arial Narrow" w:hAnsi="Arial Narrow" w:cs="Arial"/>
          <w:sz w:val="24"/>
          <w:szCs w:val="24"/>
        </w:rPr>
        <w:t>s</w:t>
      </w:r>
      <w:r>
        <w:rPr>
          <w:rFonts w:ascii="Arial Narrow" w:hAnsi="Arial Narrow" w:cs="Arial"/>
          <w:sz w:val="24"/>
          <w:szCs w:val="24"/>
        </w:rPr>
        <w:t xml:space="preserve"> </w:t>
      </w:r>
      <w:r w:rsidR="00474B82">
        <w:rPr>
          <w:rFonts w:ascii="Arial Narrow" w:hAnsi="Arial Narrow" w:cs="Arial"/>
          <w:sz w:val="24"/>
          <w:szCs w:val="24"/>
        </w:rPr>
        <w:t>dos</w:t>
      </w:r>
      <w:r>
        <w:rPr>
          <w:rFonts w:ascii="Arial Narrow" w:hAnsi="Arial Narrow" w:cs="Arial"/>
          <w:sz w:val="24"/>
          <w:szCs w:val="24"/>
        </w:rPr>
        <w:t xml:space="preserve"> fracc</w:t>
      </w:r>
      <w:r w:rsidR="00474B82">
        <w:rPr>
          <w:rFonts w:ascii="Arial Narrow" w:hAnsi="Arial Narrow" w:cs="Arial"/>
          <w:sz w:val="24"/>
          <w:szCs w:val="24"/>
        </w:rPr>
        <w:t>iones</w:t>
      </w:r>
      <w:r w:rsidRPr="001639CC">
        <w:rPr>
          <w:rFonts w:ascii="Arial Narrow" w:hAnsi="Arial Narrow" w:cs="Arial"/>
          <w:sz w:val="24"/>
          <w:szCs w:val="24"/>
        </w:rPr>
        <w:t xml:space="preserve"> con un ICP </w:t>
      </w:r>
      <w:r>
        <w:rPr>
          <w:rFonts w:ascii="Arial Narrow" w:hAnsi="Arial Narrow" w:cs="Arial"/>
          <w:sz w:val="24"/>
          <w:szCs w:val="24"/>
        </w:rPr>
        <w:t xml:space="preserve">de 100% </w:t>
      </w:r>
      <w:r w:rsidR="00474B82">
        <w:rPr>
          <w:rFonts w:ascii="Arial Narrow" w:hAnsi="Arial Narrow" w:cs="Arial"/>
          <w:sz w:val="24"/>
          <w:szCs w:val="24"/>
        </w:rPr>
        <w:t>son las</w:t>
      </w:r>
      <w:r>
        <w:rPr>
          <w:rFonts w:ascii="Arial Narrow" w:hAnsi="Arial Narrow" w:cs="Arial"/>
          <w:sz w:val="24"/>
          <w:szCs w:val="24"/>
        </w:rPr>
        <w:t xml:space="preserve"> qu</w:t>
      </w:r>
      <w:r w:rsidRPr="001639CC">
        <w:rPr>
          <w:rFonts w:ascii="Arial Narrow" w:hAnsi="Arial Narrow" w:cs="Arial"/>
          <w:sz w:val="24"/>
          <w:szCs w:val="24"/>
        </w:rPr>
        <w:t xml:space="preserve">e se </w:t>
      </w:r>
      <w:r>
        <w:rPr>
          <w:rFonts w:ascii="Arial Narrow" w:hAnsi="Arial Narrow" w:cs="Arial"/>
          <w:sz w:val="24"/>
          <w:szCs w:val="24"/>
        </w:rPr>
        <w:t>detalla</w:t>
      </w:r>
      <w:r w:rsidR="00474B82">
        <w:rPr>
          <w:rFonts w:ascii="Arial Narrow" w:hAnsi="Arial Narrow" w:cs="Arial"/>
          <w:sz w:val="24"/>
          <w:szCs w:val="24"/>
        </w:rPr>
        <w:t>n</w:t>
      </w:r>
      <w:r>
        <w:rPr>
          <w:rFonts w:ascii="Arial Narrow" w:hAnsi="Arial Narrow" w:cs="Arial"/>
          <w:sz w:val="24"/>
          <w:szCs w:val="24"/>
        </w:rPr>
        <w:t xml:space="preserve"> a continuación:</w:t>
      </w:r>
    </w:p>
    <w:p w:rsidR="00474B82" w:rsidRDefault="00474B82" w:rsidP="00474B82">
      <w:pPr>
        <w:pStyle w:val="Prrafodelista"/>
        <w:numPr>
          <w:ilvl w:val="0"/>
          <w:numId w:val="33"/>
        </w:numPr>
        <w:spacing w:before="100" w:beforeAutospacing="1" w:after="100" w:afterAutospacing="1" w:line="360" w:lineRule="auto"/>
        <w:jc w:val="both"/>
        <w:rPr>
          <w:rFonts w:ascii="Arial Narrow" w:hAnsi="Arial Narrow" w:cs="Arial"/>
          <w:sz w:val="24"/>
          <w:szCs w:val="24"/>
        </w:rPr>
      </w:pPr>
      <w:r>
        <w:rPr>
          <w:rFonts w:ascii="Arial Narrow" w:hAnsi="Arial Narrow" w:cs="Arial"/>
          <w:sz w:val="24"/>
          <w:szCs w:val="24"/>
        </w:rPr>
        <w:t xml:space="preserve">Fracción XXII, con un ICP de 100%, en el cual se mandata la publicación de los dictámenes de cuenta pública, así como los estados financieros y demás información que los órganos de fiscalización superior utilizan para emitir tales dictámenes. </w:t>
      </w:r>
    </w:p>
    <w:p w:rsidR="00474B82" w:rsidRDefault="00474B82" w:rsidP="00474B82">
      <w:pPr>
        <w:pStyle w:val="Prrafodelista"/>
        <w:spacing w:before="100" w:beforeAutospacing="1" w:after="100" w:afterAutospacing="1" w:line="360" w:lineRule="auto"/>
        <w:jc w:val="both"/>
        <w:rPr>
          <w:rFonts w:ascii="Arial Narrow" w:hAnsi="Arial Narrow" w:cs="Arial"/>
          <w:sz w:val="24"/>
          <w:szCs w:val="24"/>
        </w:rPr>
      </w:pPr>
    </w:p>
    <w:p w:rsidR="001639CC" w:rsidRPr="001639CC" w:rsidRDefault="001639CC" w:rsidP="001639CC">
      <w:pPr>
        <w:pStyle w:val="Prrafodelista"/>
        <w:numPr>
          <w:ilvl w:val="0"/>
          <w:numId w:val="33"/>
        </w:numPr>
        <w:spacing w:before="100" w:beforeAutospacing="1" w:after="100" w:afterAutospacing="1" w:line="360" w:lineRule="auto"/>
        <w:jc w:val="both"/>
        <w:rPr>
          <w:rFonts w:ascii="Arial Narrow" w:hAnsi="Arial Narrow" w:cs="Arial"/>
          <w:sz w:val="24"/>
          <w:szCs w:val="24"/>
        </w:rPr>
      </w:pPr>
      <w:r w:rsidRPr="001639CC">
        <w:rPr>
          <w:rFonts w:ascii="Arial Narrow" w:hAnsi="Arial Narrow" w:cs="Arial"/>
          <w:sz w:val="24"/>
          <w:szCs w:val="24"/>
        </w:rPr>
        <w:lastRenderedPageBreak/>
        <w:t>Fracción XXVI, con un ICP de 100%, en la que se mandata la publicación del informe anual del ejercicio del gasto, que elabora el Comité de Administración, una vez que haya sido conocido por el Pleno.</w:t>
      </w:r>
    </w:p>
    <w:p w:rsidR="001639CC" w:rsidRPr="001639CC" w:rsidRDefault="001639CC" w:rsidP="001639CC">
      <w:pPr>
        <w:spacing w:before="100" w:beforeAutospacing="1" w:after="100" w:afterAutospacing="1" w:line="360" w:lineRule="auto"/>
        <w:jc w:val="both"/>
        <w:rPr>
          <w:rFonts w:ascii="Arial Narrow" w:hAnsi="Arial Narrow" w:cs="Arial"/>
          <w:sz w:val="24"/>
          <w:szCs w:val="24"/>
        </w:rPr>
      </w:pPr>
    </w:p>
    <w:p w:rsidR="00797777" w:rsidRPr="00CD728B" w:rsidRDefault="00797777" w:rsidP="002E7D47">
      <w:pPr>
        <w:pStyle w:val="Ttulo3"/>
        <w:numPr>
          <w:ilvl w:val="1"/>
          <w:numId w:val="24"/>
        </w:numPr>
        <w:contextualSpacing/>
        <w:jc w:val="both"/>
        <w:rPr>
          <w:rFonts w:ascii="Arial Narrow" w:hAnsi="Arial Narrow"/>
          <w:b/>
          <w:color w:val="auto"/>
        </w:rPr>
      </w:pPr>
      <w:bookmarkStart w:id="50" w:name="_Toc14293751"/>
      <w:r w:rsidRPr="00CD728B">
        <w:rPr>
          <w:rFonts w:ascii="Arial Narrow" w:hAnsi="Arial Narrow"/>
          <w:b/>
          <w:color w:val="auto"/>
        </w:rPr>
        <w:t xml:space="preserve">Análisis del </w:t>
      </w:r>
      <w:r w:rsidR="009D7771">
        <w:rPr>
          <w:rFonts w:ascii="Arial Narrow" w:hAnsi="Arial Narrow"/>
          <w:b/>
          <w:color w:val="auto"/>
        </w:rPr>
        <w:t>Artículo</w:t>
      </w:r>
      <w:r w:rsidRPr="00CD728B">
        <w:rPr>
          <w:rFonts w:ascii="Arial Narrow" w:hAnsi="Arial Narrow"/>
          <w:b/>
          <w:color w:val="auto"/>
        </w:rPr>
        <w:t xml:space="preserve"> 127 y sus respectivas fracciones</w:t>
      </w:r>
      <w:bookmarkEnd w:id="50"/>
    </w:p>
    <w:p w:rsidR="00797777" w:rsidRPr="00CD728B" w:rsidRDefault="00797777"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 xml:space="preserve">Se trata de un </w:t>
      </w:r>
      <w:r w:rsidR="009D7771">
        <w:rPr>
          <w:rFonts w:ascii="Arial Narrow" w:hAnsi="Arial Narrow" w:cs="Arial"/>
          <w:sz w:val="24"/>
          <w:szCs w:val="24"/>
        </w:rPr>
        <w:t>Artículo</w:t>
      </w:r>
      <w:r w:rsidRPr="00CD728B">
        <w:rPr>
          <w:rFonts w:ascii="Arial Narrow" w:hAnsi="Arial Narrow" w:cs="Arial"/>
          <w:sz w:val="24"/>
          <w:szCs w:val="24"/>
        </w:rPr>
        <w:t xml:space="preserve"> que sólo corresponde a la Auditoría Superior de la Ciudad de México de acuerdo con la tabla de aplicabilidad, el cual obtuvo 65.59% de IPC. </w:t>
      </w:r>
      <w:r w:rsidR="008B1EAC" w:rsidRPr="00CD728B">
        <w:rPr>
          <w:rFonts w:ascii="Arial Narrow" w:hAnsi="Arial Narrow" w:cs="Arial"/>
          <w:sz w:val="24"/>
          <w:szCs w:val="24"/>
        </w:rPr>
        <w:t>La fracción que tiene mayor área de oportunidad es la siguiente:</w:t>
      </w:r>
    </w:p>
    <w:p w:rsidR="00797777" w:rsidRPr="00CD728B" w:rsidRDefault="00797777" w:rsidP="002E7D47">
      <w:pPr>
        <w:pStyle w:val="Prrafodelista"/>
        <w:numPr>
          <w:ilvl w:val="0"/>
          <w:numId w:val="8"/>
        </w:numPr>
        <w:spacing w:before="100" w:beforeAutospacing="1" w:after="100" w:afterAutospacing="1" w:line="360" w:lineRule="auto"/>
        <w:jc w:val="both"/>
        <w:rPr>
          <w:rFonts w:ascii="Arial Narrow" w:hAnsi="Arial Narrow" w:cs="Arial"/>
          <w:sz w:val="24"/>
          <w:szCs w:val="24"/>
        </w:rPr>
      </w:pPr>
      <w:r w:rsidRPr="00CD728B">
        <w:rPr>
          <w:rFonts w:ascii="Arial Narrow" w:hAnsi="Arial Narrow" w:cs="Arial"/>
          <w:sz w:val="24"/>
          <w:szCs w:val="24"/>
        </w:rPr>
        <w:t>Fracción I</w:t>
      </w:r>
      <w:r w:rsidR="003A57A0">
        <w:rPr>
          <w:rFonts w:ascii="Arial Narrow" w:hAnsi="Arial Narrow" w:cs="Arial"/>
          <w:sz w:val="24"/>
          <w:szCs w:val="24"/>
        </w:rPr>
        <w:t>,</w:t>
      </w:r>
      <w:r w:rsidRPr="00CD728B">
        <w:rPr>
          <w:rFonts w:ascii="Arial Narrow" w:hAnsi="Arial Narrow" w:cs="Arial"/>
          <w:sz w:val="24"/>
          <w:szCs w:val="24"/>
        </w:rPr>
        <w:t xml:space="preserve"> que establece e</w:t>
      </w:r>
      <w:r w:rsidRPr="00CD728B">
        <w:rPr>
          <w:rFonts w:ascii="Arial Narrow" w:hAnsi="Arial Narrow"/>
          <w:sz w:val="24"/>
          <w:szCs w:val="24"/>
        </w:rPr>
        <w:t>l Programa General de Auditoría del ejercicio en curso, una vez aprobado por el Auditor Superior y presentado al Poder Legislativo, su cumplimiento fue de 25% de IPC.</w:t>
      </w:r>
    </w:p>
    <w:p w:rsidR="002B784C" w:rsidRPr="00CD728B" w:rsidRDefault="002B784C" w:rsidP="002E7D47">
      <w:pPr>
        <w:pStyle w:val="Prrafodelista"/>
        <w:spacing w:before="100" w:beforeAutospacing="1" w:after="100" w:afterAutospacing="1" w:line="360" w:lineRule="auto"/>
        <w:jc w:val="both"/>
        <w:rPr>
          <w:rFonts w:ascii="Arial Narrow" w:hAnsi="Arial Narrow" w:cs="Arial"/>
          <w:sz w:val="24"/>
          <w:szCs w:val="24"/>
        </w:rPr>
      </w:pPr>
    </w:p>
    <w:p w:rsidR="00797777" w:rsidRPr="00CD728B" w:rsidRDefault="00797777" w:rsidP="002E7D47">
      <w:pPr>
        <w:pStyle w:val="Ttulo3"/>
        <w:numPr>
          <w:ilvl w:val="1"/>
          <w:numId w:val="24"/>
        </w:numPr>
        <w:contextualSpacing/>
        <w:jc w:val="both"/>
        <w:rPr>
          <w:rFonts w:ascii="Arial Narrow" w:hAnsi="Arial Narrow"/>
          <w:b/>
          <w:color w:val="auto"/>
        </w:rPr>
      </w:pPr>
      <w:bookmarkStart w:id="51" w:name="_Toc14293752"/>
      <w:r w:rsidRPr="00CD728B">
        <w:rPr>
          <w:rFonts w:ascii="Arial Narrow" w:hAnsi="Arial Narrow"/>
          <w:b/>
          <w:color w:val="auto"/>
        </w:rPr>
        <w:t xml:space="preserve">Análisis del </w:t>
      </w:r>
      <w:r w:rsidR="009D7771">
        <w:rPr>
          <w:rFonts w:ascii="Arial Narrow" w:hAnsi="Arial Narrow"/>
          <w:b/>
          <w:color w:val="auto"/>
        </w:rPr>
        <w:t>Artículo</w:t>
      </w:r>
      <w:r w:rsidRPr="00CD728B">
        <w:rPr>
          <w:rFonts w:ascii="Arial Narrow" w:hAnsi="Arial Narrow"/>
          <w:b/>
          <w:color w:val="auto"/>
        </w:rPr>
        <w:t xml:space="preserve"> 143</w:t>
      </w:r>
      <w:bookmarkEnd w:id="51"/>
    </w:p>
    <w:p w:rsidR="00797777" w:rsidRPr="00CD728B" w:rsidRDefault="00797777" w:rsidP="002E7D47">
      <w:pPr>
        <w:spacing w:before="100" w:beforeAutospacing="1" w:after="100" w:afterAutospacing="1" w:line="360" w:lineRule="auto"/>
        <w:contextualSpacing/>
        <w:jc w:val="both"/>
        <w:rPr>
          <w:rFonts w:ascii="Arial Narrow" w:hAnsi="Arial Narrow" w:cs="Arial"/>
          <w:b/>
          <w:bCs/>
          <w:sz w:val="24"/>
          <w:szCs w:val="24"/>
        </w:rPr>
      </w:pPr>
      <w:r w:rsidRPr="00CD728B">
        <w:rPr>
          <w:rFonts w:ascii="Arial Narrow" w:hAnsi="Arial Narrow"/>
          <w:noProof/>
          <w:sz w:val="24"/>
          <w:szCs w:val="24"/>
          <w:lang w:val="es-MX" w:eastAsia="es-MX"/>
        </w:rPr>
        <w:drawing>
          <wp:inline distT="0" distB="0" distL="0" distR="0" wp14:anchorId="4914AF1D" wp14:editId="398ECEAA">
            <wp:extent cx="4572000" cy="2743200"/>
            <wp:effectExtent l="0" t="0" r="0" b="0"/>
            <wp:docPr id="35" name="Gráfico 35">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FD17187-5BD0-4B30-923F-37104F12A8C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8B1EAC" w:rsidRPr="00CD728B" w:rsidRDefault="008B1EAC" w:rsidP="002E7D47">
      <w:pPr>
        <w:spacing w:before="100" w:beforeAutospacing="1" w:after="100" w:afterAutospacing="1" w:line="360" w:lineRule="auto"/>
        <w:contextualSpacing/>
        <w:jc w:val="both"/>
        <w:rPr>
          <w:rFonts w:ascii="Arial Narrow" w:hAnsi="Arial Narrow" w:cs="Arial"/>
          <w:sz w:val="24"/>
          <w:szCs w:val="24"/>
        </w:rPr>
      </w:pPr>
    </w:p>
    <w:p w:rsidR="00797777" w:rsidRPr="00CD728B" w:rsidRDefault="00797777"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 xml:space="preserve">Los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obtuvieron un ICP en este </w:t>
      </w:r>
      <w:r w:rsidR="009D7771">
        <w:rPr>
          <w:rFonts w:ascii="Arial Narrow" w:hAnsi="Arial Narrow" w:cs="Arial"/>
          <w:sz w:val="24"/>
          <w:szCs w:val="24"/>
        </w:rPr>
        <w:t>Artículo</w:t>
      </w:r>
      <w:r w:rsidRPr="00CD728B">
        <w:rPr>
          <w:rFonts w:ascii="Arial Narrow" w:hAnsi="Arial Narrow" w:cs="Arial"/>
          <w:sz w:val="24"/>
          <w:szCs w:val="24"/>
        </w:rPr>
        <w:t xml:space="preserve"> de 87.5%; por lo que se encuentran dentro del área de cumplimiento parcial. La ASCDMX tuvo un cumplimiento total del 100%, mientras que la ALDF tuvo 75% de ICP. Este </w:t>
      </w:r>
      <w:r w:rsidR="009D7771">
        <w:rPr>
          <w:rFonts w:ascii="Arial Narrow" w:hAnsi="Arial Narrow" w:cs="Arial"/>
          <w:sz w:val="24"/>
          <w:szCs w:val="24"/>
        </w:rPr>
        <w:t>Artículo</w:t>
      </w:r>
      <w:r w:rsidRPr="00CD728B">
        <w:rPr>
          <w:rFonts w:ascii="Arial Narrow" w:hAnsi="Arial Narrow" w:cs="Arial"/>
          <w:sz w:val="24"/>
          <w:szCs w:val="24"/>
        </w:rPr>
        <w:t xml:space="preserve"> establece publicar toda información que brinden los </w:t>
      </w:r>
      <w:r w:rsidR="003C3757" w:rsidRPr="00CD728B">
        <w:rPr>
          <w:rFonts w:ascii="Arial Narrow" w:hAnsi="Arial Narrow" w:cs="Arial"/>
          <w:sz w:val="24"/>
          <w:szCs w:val="24"/>
        </w:rPr>
        <w:t>Sujetos Obligados</w:t>
      </w:r>
      <w:r w:rsidRPr="00CD728B">
        <w:rPr>
          <w:rFonts w:ascii="Arial Narrow" w:hAnsi="Arial Narrow" w:cs="Arial"/>
          <w:sz w:val="24"/>
          <w:szCs w:val="24"/>
        </w:rPr>
        <w:t>, respecto a la ejecución de obra pública por invitación restringida.</w:t>
      </w:r>
    </w:p>
    <w:p w:rsidR="008B1EAC" w:rsidRPr="00CD728B" w:rsidRDefault="00797777" w:rsidP="008B1EAC">
      <w:pPr>
        <w:pStyle w:val="Ttulo3"/>
        <w:numPr>
          <w:ilvl w:val="1"/>
          <w:numId w:val="24"/>
        </w:numPr>
        <w:contextualSpacing/>
        <w:jc w:val="both"/>
        <w:rPr>
          <w:rFonts w:ascii="Arial Narrow" w:hAnsi="Arial Narrow"/>
          <w:b/>
          <w:color w:val="auto"/>
        </w:rPr>
      </w:pPr>
      <w:bookmarkStart w:id="52" w:name="_Toc14293753"/>
      <w:r w:rsidRPr="00CD728B">
        <w:rPr>
          <w:rFonts w:ascii="Arial Narrow" w:hAnsi="Arial Narrow"/>
          <w:b/>
          <w:color w:val="auto"/>
        </w:rPr>
        <w:t xml:space="preserve">Análisis del </w:t>
      </w:r>
      <w:r w:rsidR="009D7771">
        <w:rPr>
          <w:rFonts w:ascii="Arial Narrow" w:hAnsi="Arial Narrow"/>
          <w:b/>
          <w:color w:val="auto"/>
        </w:rPr>
        <w:t>Artículo</w:t>
      </w:r>
      <w:r w:rsidRPr="00CD728B">
        <w:rPr>
          <w:rFonts w:ascii="Arial Narrow" w:hAnsi="Arial Narrow"/>
          <w:b/>
          <w:color w:val="auto"/>
        </w:rPr>
        <w:t xml:space="preserve"> 145</w:t>
      </w:r>
      <w:bookmarkEnd w:id="52"/>
    </w:p>
    <w:p w:rsidR="008B1EAC" w:rsidRPr="00CD728B" w:rsidRDefault="008B1EAC" w:rsidP="008B1EAC">
      <w:pPr>
        <w:rPr>
          <w:rFonts w:ascii="Arial Narrow" w:hAnsi="Arial Narrow"/>
        </w:rPr>
      </w:pPr>
    </w:p>
    <w:p w:rsidR="00797777" w:rsidRPr="00CD728B" w:rsidRDefault="00797777"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 xml:space="preserve">Los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tuvieron un cumplimiento total del 100% de ICP. Este </w:t>
      </w:r>
      <w:r w:rsidR="009D7771">
        <w:rPr>
          <w:rFonts w:ascii="Arial Narrow" w:hAnsi="Arial Narrow" w:cs="Arial"/>
          <w:sz w:val="24"/>
          <w:szCs w:val="24"/>
        </w:rPr>
        <w:t>Artículo</w:t>
      </w:r>
      <w:r w:rsidRPr="00CD728B">
        <w:rPr>
          <w:rFonts w:ascii="Arial Narrow" w:hAnsi="Arial Narrow" w:cs="Arial"/>
          <w:sz w:val="24"/>
          <w:szCs w:val="24"/>
        </w:rPr>
        <w:t xml:space="preserve"> establece que deben contar en la página de inicio de sus portales de Internet con una señalización fácilmente identificable y accesible que cumpla con los requerimientos de sistematización, comprensión y organización de la información de transparencia.</w:t>
      </w:r>
    </w:p>
    <w:p w:rsidR="00797777" w:rsidRPr="00CD728B" w:rsidRDefault="00797777" w:rsidP="002E7D47">
      <w:pPr>
        <w:pStyle w:val="Ttulo3"/>
        <w:numPr>
          <w:ilvl w:val="1"/>
          <w:numId w:val="24"/>
        </w:numPr>
        <w:contextualSpacing/>
        <w:jc w:val="both"/>
        <w:rPr>
          <w:rFonts w:ascii="Arial Narrow" w:hAnsi="Arial Narrow"/>
          <w:b/>
          <w:color w:val="auto"/>
        </w:rPr>
      </w:pPr>
      <w:bookmarkStart w:id="53" w:name="_Toc14293754"/>
      <w:r w:rsidRPr="00CD728B">
        <w:rPr>
          <w:rFonts w:ascii="Arial Narrow" w:hAnsi="Arial Narrow"/>
          <w:b/>
          <w:color w:val="auto"/>
        </w:rPr>
        <w:t xml:space="preserve">Análisis del </w:t>
      </w:r>
      <w:r w:rsidR="009D7771">
        <w:rPr>
          <w:rFonts w:ascii="Arial Narrow" w:hAnsi="Arial Narrow"/>
          <w:b/>
          <w:color w:val="auto"/>
        </w:rPr>
        <w:t>Artículo</w:t>
      </w:r>
      <w:r w:rsidRPr="00CD728B">
        <w:rPr>
          <w:rFonts w:ascii="Arial Narrow" w:hAnsi="Arial Narrow"/>
          <w:b/>
          <w:color w:val="auto"/>
        </w:rPr>
        <w:t xml:space="preserve"> 146</w:t>
      </w:r>
      <w:bookmarkEnd w:id="53"/>
    </w:p>
    <w:p w:rsidR="00797777" w:rsidRPr="00CD728B" w:rsidRDefault="00797777" w:rsidP="002E7D47">
      <w:pPr>
        <w:spacing w:before="100" w:beforeAutospacing="1" w:after="100" w:afterAutospacing="1" w:line="360" w:lineRule="auto"/>
        <w:contextualSpacing/>
        <w:jc w:val="both"/>
        <w:rPr>
          <w:rFonts w:ascii="Arial Narrow" w:hAnsi="Arial Narrow" w:cs="Arial"/>
          <w:b/>
          <w:bCs/>
          <w:sz w:val="24"/>
          <w:szCs w:val="24"/>
        </w:rPr>
      </w:pPr>
      <w:r w:rsidRPr="00CD728B">
        <w:rPr>
          <w:rFonts w:ascii="Arial Narrow" w:hAnsi="Arial Narrow"/>
          <w:noProof/>
          <w:sz w:val="24"/>
          <w:szCs w:val="24"/>
          <w:lang w:val="es-MX" w:eastAsia="es-MX"/>
        </w:rPr>
        <w:drawing>
          <wp:inline distT="0" distB="0" distL="0" distR="0" wp14:anchorId="369B3583" wp14:editId="7B60AFB0">
            <wp:extent cx="5661329" cy="2743200"/>
            <wp:effectExtent l="0" t="0" r="15875" b="0"/>
            <wp:docPr id="36" name="Gráfico 36">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C973CB0-E0AD-4D80-8981-95732F7324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B1EAC" w:rsidRPr="00CD728B" w:rsidRDefault="008B1EAC" w:rsidP="002E7D47">
      <w:pPr>
        <w:spacing w:before="100" w:beforeAutospacing="1" w:after="100" w:afterAutospacing="1" w:line="360" w:lineRule="auto"/>
        <w:contextualSpacing/>
        <w:jc w:val="both"/>
        <w:rPr>
          <w:rFonts w:ascii="Arial Narrow" w:hAnsi="Arial Narrow" w:cs="Arial"/>
          <w:sz w:val="24"/>
          <w:szCs w:val="24"/>
        </w:rPr>
      </w:pPr>
    </w:p>
    <w:p w:rsidR="002B784C" w:rsidRPr="00CD728B" w:rsidRDefault="00797777"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 xml:space="preserve">Los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tuvieron un incumplimiento parcial de 50% debido a que la Asamblea Legislativa tuvo un incumplimiento total de 0% del ICP, mientras que la Auditoría Superior tuvo un </w:t>
      </w:r>
      <w:r w:rsidRPr="00CD728B">
        <w:rPr>
          <w:rFonts w:ascii="Arial Narrow" w:hAnsi="Arial Narrow" w:cs="Arial"/>
          <w:sz w:val="24"/>
          <w:szCs w:val="24"/>
        </w:rPr>
        <w:lastRenderedPageBreak/>
        <w:t xml:space="preserve">cumplimiento total del 100% del IPC. Este </w:t>
      </w:r>
      <w:r w:rsidR="009D7771">
        <w:rPr>
          <w:rFonts w:ascii="Arial Narrow" w:hAnsi="Arial Narrow" w:cs="Arial"/>
          <w:sz w:val="24"/>
          <w:szCs w:val="24"/>
        </w:rPr>
        <w:t>Artículo</w:t>
      </w:r>
      <w:r w:rsidRPr="00CD728B">
        <w:rPr>
          <w:rFonts w:ascii="Arial Narrow" w:hAnsi="Arial Narrow" w:cs="Arial"/>
          <w:sz w:val="24"/>
          <w:szCs w:val="24"/>
        </w:rPr>
        <w:t xml:space="preserve"> establece difundir, dentro del primer mes de cada año, un calendario de actualización, por cada contenido de información y el área responsable. </w:t>
      </w:r>
    </w:p>
    <w:p w:rsidR="00797777" w:rsidRPr="00CD728B" w:rsidRDefault="00797777" w:rsidP="002E7D47">
      <w:pPr>
        <w:pStyle w:val="Ttulo3"/>
        <w:numPr>
          <w:ilvl w:val="1"/>
          <w:numId w:val="24"/>
        </w:numPr>
        <w:contextualSpacing/>
        <w:jc w:val="both"/>
        <w:rPr>
          <w:rFonts w:ascii="Arial Narrow" w:hAnsi="Arial Narrow"/>
          <w:b/>
          <w:color w:val="auto"/>
        </w:rPr>
      </w:pPr>
      <w:bookmarkStart w:id="54" w:name="_Toc14293755"/>
      <w:r w:rsidRPr="00CD728B">
        <w:rPr>
          <w:rFonts w:ascii="Arial Narrow" w:hAnsi="Arial Narrow"/>
          <w:b/>
          <w:color w:val="auto"/>
        </w:rPr>
        <w:t xml:space="preserve">Análisis del </w:t>
      </w:r>
      <w:r w:rsidR="009D7771">
        <w:rPr>
          <w:rFonts w:ascii="Arial Narrow" w:hAnsi="Arial Narrow"/>
          <w:b/>
          <w:color w:val="auto"/>
        </w:rPr>
        <w:t>Artículo</w:t>
      </w:r>
      <w:r w:rsidRPr="00CD728B">
        <w:rPr>
          <w:rFonts w:ascii="Arial Narrow" w:hAnsi="Arial Narrow"/>
          <w:b/>
          <w:color w:val="auto"/>
        </w:rPr>
        <w:t xml:space="preserve"> 147</w:t>
      </w:r>
      <w:bookmarkEnd w:id="54"/>
      <w:r w:rsidRPr="00CD728B">
        <w:rPr>
          <w:rFonts w:ascii="Arial Narrow" w:hAnsi="Arial Narrow"/>
          <w:b/>
          <w:color w:val="auto"/>
        </w:rPr>
        <w:t xml:space="preserve"> </w:t>
      </w:r>
    </w:p>
    <w:p w:rsidR="00797777" w:rsidRPr="00CD728B" w:rsidRDefault="00797777"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 xml:space="preserve">Los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obtuvieron un ICP de 55.67%; por lo que se encuentran dentro del área de incumplimiento parcial. Lo anterior se debió a que no está actualizada la información del uso, destino y actividades que realicen toda persona moral, organizaciones de la sociedad civil, sindicatos o cualquier otra análoga que reciban recursos públicos por cualquier concepto.</w:t>
      </w:r>
    </w:p>
    <w:p w:rsidR="00AF69FA" w:rsidRPr="00CD728B" w:rsidRDefault="00AF69FA" w:rsidP="002E7D47">
      <w:pPr>
        <w:contextualSpacing/>
        <w:rPr>
          <w:rFonts w:ascii="Arial Narrow" w:eastAsiaTheme="majorEastAsia" w:hAnsi="Arial Narrow" w:cstheme="majorBidi"/>
          <w:b/>
          <w:sz w:val="24"/>
          <w:szCs w:val="24"/>
        </w:rPr>
      </w:pPr>
      <w:r w:rsidRPr="00CD728B">
        <w:rPr>
          <w:rFonts w:ascii="Arial Narrow" w:hAnsi="Arial Narrow"/>
          <w:b/>
          <w:sz w:val="24"/>
          <w:szCs w:val="24"/>
        </w:rPr>
        <w:br w:type="page"/>
      </w:r>
    </w:p>
    <w:p w:rsidR="00A211E8" w:rsidRPr="00CD728B" w:rsidRDefault="00AF69FA" w:rsidP="002E7D47">
      <w:pPr>
        <w:pStyle w:val="Ttulo1"/>
        <w:numPr>
          <w:ilvl w:val="0"/>
          <w:numId w:val="9"/>
        </w:numPr>
        <w:contextualSpacing/>
        <w:rPr>
          <w:rFonts w:ascii="Arial Narrow" w:hAnsi="Arial Narrow"/>
          <w:b/>
          <w:color w:val="auto"/>
          <w:sz w:val="24"/>
          <w:szCs w:val="24"/>
        </w:rPr>
      </w:pPr>
      <w:bookmarkStart w:id="55" w:name="_Toc14293756"/>
      <w:r w:rsidRPr="00CD728B">
        <w:rPr>
          <w:rFonts w:ascii="Arial Narrow" w:hAnsi="Arial Narrow"/>
          <w:b/>
          <w:color w:val="auto"/>
          <w:sz w:val="24"/>
          <w:szCs w:val="24"/>
        </w:rPr>
        <w:lastRenderedPageBreak/>
        <w:t>PODER JUDICIAL</w:t>
      </w:r>
      <w:bookmarkEnd w:id="55"/>
      <w:r w:rsidRPr="00CD728B">
        <w:rPr>
          <w:rFonts w:ascii="Arial Narrow" w:hAnsi="Arial Narrow"/>
          <w:b/>
          <w:color w:val="auto"/>
          <w:sz w:val="24"/>
          <w:szCs w:val="24"/>
        </w:rPr>
        <w:t xml:space="preserve"> </w:t>
      </w:r>
    </w:p>
    <w:p w:rsidR="00A211E8" w:rsidRPr="00CD728B" w:rsidRDefault="00A211E8"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sz w:val="24"/>
          <w:szCs w:val="24"/>
        </w:rPr>
        <w:t xml:space="preserve">El ámbito del Poder Judicial en lo que corresponde al orden del órgano judicial, al 31 de diciembre de 2018 estaba conformado por 2 </w:t>
      </w:r>
      <w:r w:rsidR="003C3757" w:rsidRPr="00CD728B">
        <w:rPr>
          <w:rFonts w:ascii="Arial Narrow" w:hAnsi="Arial Narrow"/>
          <w:sz w:val="24"/>
          <w:szCs w:val="24"/>
        </w:rPr>
        <w:t>Sujetos Obligados</w:t>
      </w:r>
      <w:r w:rsidRPr="00CD728B">
        <w:rPr>
          <w:rFonts w:ascii="Arial Narrow" w:hAnsi="Arial Narrow"/>
          <w:sz w:val="24"/>
          <w:szCs w:val="24"/>
        </w:rPr>
        <w:t xml:space="preserve">, de conformidad con el </w:t>
      </w:r>
      <w:r w:rsidRPr="00CD728B">
        <w:rPr>
          <w:rFonts w:ascii="Arial Narrow" w:hAnsi="Arial Narrow" w:cs="Arial"/>
          <w:sz w:val="24"/>
          <w:szCs w:val="24"/>
        </w:rPr>
        <w:t xml:space="preserve">Padrón. </w:t>
      </w:r>
      <w:r w:rsidRPr="00CD728B">
        <w:rPr>
          <w:rFonts w:ascii="Arial Narrow" w:hAnsi="Arial Narrow"/>
          <w:sz w:val="24"/>
          <w:szCs w:val="24"/>
        </w:rPr>
        <w:t xml:space="preserve">Éstos así como su </w:t>
      </w:r>
      <w:r w:rsidR="00623A69">
        <w:rPr>
          <w:rFonts w:ascii="Arial Narrow" w:hAnsi="Arial Narrow" w:cs="Arial"/>
          <w:sz w:val="24"/>
          <w:szCs w:val="24"/>
        </w:rPr>
        <w:t>ICOT-PT</w:t>
      </w:r>
      <w:r w:rsidRPr="00CD728B">
        <w:rPr>
          <w:rFonts w:ascii="Arial Narrow" w:hAnsi="Arial Narrow" w:cs="Arial"/>
          <w:sz w:val="24"/>
          <w:szCs w:val="24"/>
        </w:rPr>
        <w:t>, ICOT-PNT</w:t>
      </w:r>
      <w:r w:rsidRPr="00CD728B">
        <w:rPr>
          <w:rFonts w:ascii="Arial Narrow" w:hAnsi="Arial Narrow"/>
          <w:sz w:val="24"/>
          <w:szCs w:val="24"/>
        </w:rPr>
        <w:t xml:space="preserve"> y el </w:t>
      </w:r>
      <w:r w:rsidRPr="00CD728B">
        <w:rPr>
          <w:rFonts w:ascii="Arial Narrow" w:hAnsi="Arial Narrow" w:cs="Arial"/>
          <w:sz w:val="24"/>
          <w:szCs w:val="24"/>
        </w:rPr>
        <w:t xml:space="preserve">IGOT se presentan en la siguiente tabla: </w:t>
      </w:r>
    </w:p>
    <w:p w:rsidR="00A211E8" w:rsidRPr="00CD728B" w:rsidRDefault="00A211E8" w:rsidP="002E7D47">
      <w:pPr>
        <w:spacing w:before="100" w:beforeAutospacing="1" w:after="100" w:afterAutospacing="1" w:line="360" w:lineRule="auto"/>
        <w:contextualSpacing/>
        <w:jc w:val="both"/>
        <w:rPr>
          <w:rFonts w:ascii="Arial Narrow" w:hAnsi="Arial Narrow" w:cs="Arial"/>
          <w:sz w:val="24"/>
          <w:szCs w:val="24"/>
        </w:rPr>
      </w:pPr>
    </w:p>
    <w:tbl>
      <w:tblPr>
        <w:tblW w:w="7351" w:type="dxa"/>
        <w:jc w:val="center"/>
        <w:tblCellMar>
          <w:left w:w="70" w:type="dxa"/>
          <w:right w:w="70" w:type="dxa"/>
        </w:tblCellMar>
        <w:tblLook w:val="04A0" w:firstRow="1" w:lastRow="0" w:firstColumn="1" w:lastColumn="0" w:noHBand="0" w:noVBand="1"/>
      </w:tblPr>
      <w:tblGrid>
        <w:gridCol w:w="3745"/>
        <w:gridCol w:w="1065"/>
        <w:gridCol w:w="1427"/>
        <w:gridCol w:w="1114"/>
      </w:tblGrid>
      <w:tr w:rsidR="00A211E8" w:rsidRPr="00CD728B" w:rsidTr="006C722A">
        <w:trPr>
          <w:trHeight w:val="345"/>
          <w:jc w:val="center"/>
        </w:trPr>
        <w:tc>
          <w:tcPr>
            <w:tcW w:w="7351" w:type="dxa"/>
            <w:gridSpan w:val="4"/>
            <w:tcBorders>
              <w:top w:val="single" w:sz="8" w:space="0" w:color="auto"/>
              <w:left w:val="single" w:sz="8" w:space="0" w:color="auto"/>
              <w:bottom w:val="single" w:sz="8" w:space="0" w:color="auto"/>
              <w:right w:val="single" w:sz="8" w:space="0" w:color="000000"/>
            </w:tcBorders>
            <w:shd w:val="clear" w:color="000000" w:fill="33CCCC"/>
            <w:noWrap/>
            <w:vAlign w:val="center"/>
            <w:hideMark/>
          </w:tcPr>
          <w:p w:rsidR="00A211E8" w:rsidRPr="00CD728B" w:rsidRDefault="00A211E8" w:rsidP="002E7D47">
            <w:pPr>
              <w:spacing w:before="100" w:beforeAutospacing="1" w:after="100" w:afterAutospacing="1" w:line="360" w:lineRule="auto"/>
              <w:contextualSpacing/>
              <w:jc w:val="center"/>
              <w:rPr>
                <w:rFonts w:ascii="Arial Narrow" w:eastAsia="Times New Roman" w:hAnsi="Arial Narrow" w:cs="Arial"/>
                <w:b/>
                <w:bCs/>
                <w:sz w:val="24"/>
                <w:szCs w:val="24"/>
                <w:lang w:val="es-MX" w:eastAsia="es-MX"/>
              </w:rPr>
            </w:pPr>
            <w:r w:rsidRPr="00CD728B">
              <w:rPr>
                <w:rFonts w:ascii="Arial Narrow" w:eastAsia="Times New Roman" w:hAnsi="Arial Narrow" w:cs="Arial"/>
                <w:b/>
                <w:bCs/>
                <w:sz w:val="24"/>
                <w:szCs w:val="24"/>
                <w:lang w:val="es-MX" w:eastAsia="es-MX"/>
              </w:rPr>
              <w:t>Resultados de la Evaluación Vinculante 2019, respecto del ejercicio 2018</w:t>
            </w:r>
          </w:p>
        </w:tc>
      </w:tr>
      <w:tr w:rsidR="00A211E8" w:rsidRPr="00CD728B" w:rsidTr="006C722A">
        <w:trPr>
          <w:trHeight w:val="345"/>
          <w:jc w:val="center"/>
        </w:trPr>
        <w:tc>
          <w:tcPr>
            <w:tcW w:w="3745" w:type="dxa"/>
            <w:tcBorders>
              <w:top w:val="nil"/>
              <w:left w:val="single" w:sz="8" w:space="0" w:color="auto"/>
              <w:bottom w:val="single" w:sz="8" w:space="0" w:color="auto"/>
              <w:right w:val="single" w:sz="8" w:space="0" w:color="auto"/>
            </w:tcBorders>
            <w:shd w:val="clear" w:color="000000" w:fill="33CCCC"/>
            <w:noWrap/>
            <w:vAlign w:val="center"/>
            <w:hideMark/>
          </w:tcPr>
          <w:p w:rsidR="00A211E8" w:rsidRPr="00CD728B" w:rsidRDefault="00A211E8" w:rsidP="002E7D47">
            <w:pPr>
              <w:spacing w:before="100" w:beforeAutospacing="1" w:after="100" w:afterAutospacing="1" w:line="360" w:lineRule="auto"/>
              <w:contextualSpacing/>
              <w:jc w:val="both"/>
              <w:rPr>
                <w:rFonts w:ascii="Arial Narrow" w:eastAsia="Times New Roman" w:hAnsi="Arial Narrow" w:cs="Arial"/>
                <w:b/>
                <w:bCs/>
                <w:sz w:val="24"/>
                <w:szCs w:val="24"/>
                <w:lang w:val="es-MX" w:eastAsia="es-MX"/>
              </w:rPr>
            </w:pPr>
            <w:r w:rsidRPr="00CD728B">
              <w:rPr>
                <w:rFonts w:ascii="Arial Narrow" w:eastAsia="Times New Roman" w:hAnsi="Arial Narrow" w:cs="Arial"/>
                <w:b/>
                <w:bCs/>
                <w:sz w:val="24"/>
                <w:szCs w:val="24"/>
                <w:lang w:val="es-MX" w:eastAsia="es-MX"/>
              </w:rPr>
              <w:t>Sujeto Obligado</w:t>
            </w:r>
          </w:p>
        </w:tc>
        <w:tc>
          <w:tcPr>
            <w:tcW w:w="1065" w:type="dxa"/>
            <w:tcBorders>
              <w:top w:val="nil"/>
              <w:left w:val="nil"/>
              <w:bottom w:val="single" w:sz="8" w:space="0" w:color="auto"/>
              <w:right w:val="single" w:sz="8" w:space="0" w:color="auto"/>
            </w:tcBorders>
            <w:shd w:val="clear" w:color="000000" w:fill="33CCCC"/>
            <w:noWrap/>
            <w:vAlign w:val="center"/>
            <w:hideMark/>
          </w:tcPr>
          <w:p w:rsidR="00A211E8" w:rsidRPr="00CD728B" w:rsidRDefault="00A211E8" w:rsidP="002E7D47">
            <w:pPr>
              <w:spacing w:before="100" w:beforeAutospacing="1" w:after="100" w:afterAutospacing="1" w:line="360" w:lineRule="auto"/>
              <w:contextualSpacing/>
              <w:jc w:val="both"/>
              <w:rPr>
                <w:rFonts w:ascii="Arial Narrow" w:eastAsia="Times New Roman" w:hAnsi="Arial Narrow" w:cs="Arial"/>
                <w:b/>
                <w:bCs/>
                <w:sz w:val="24"/>
                <w:szCs w:val="24"/>
                <w:lang w:val="es-MX" w:eastAsia="es-MX"/>
              </w:rPr>
            </w:pPr>
            <w:r w:rsidRPr="00CD728B">
              <w:rPr>
                <w:rFonts w:ascii="Arial Narrow" w:eastAsia="Times New Roman" w:hAnsi="Arial Narrow" w:cs="Arial"/>
                <w:b/>
                <w:bCs/>
                <w:sz w:val="24"/>
                <w:szCs w:val="24"/>
                <w:lang w:val="es-MX" w:eastAsia="es-MX"/>
              </w:rPr>
              <w:t>IGOT</w:t>
            </w:r>
          </w:p>
        </w:tc>
        <w:tc>
          <w:tcPr>
            <w:tcW w:w="1427" w:type="dxa"/>
            <w:tcBorders>
              <w:top w:val="nil"/>
              <w:left w:val="nil"/>
              <w:bottom w:val="single" w:sz="8" w:space="0" w:color="auto"/>
              <w:right w:val="single" w:sz="8" w:space="0" w:color="auto"/>
            </w:tcBorders>
            <w:shd w:val="clear" w:color="000000" w:fill="33CCCC"/>
            <w:noWrap/>
            <w:vAlign w:val="center"/>
            <w:hideMark/>
          </w:tcPr>
          <w:p w:rsidR="00A211E8" w:rsidRPr="00CD728B" w:rsidRDefault="00A211E8" w:rsidP="002E7D47">
            <w:pPr>
              <w:spacing w:before="100" w:beforeAutospacing="1" w:after="100" w:afterAutospacing="1" w:line="360" w:lineRule="auto"/>
              <w:contextualSpacing/>
              <w:jc w:val="both"/>
              <w:rPr>
                <w:rFonts w:ascii="Arial Narrow" w:eastAsia="Times New Roman" w:hAnsi="Arial Narrow" w:cs="Arial"/>
                <w:b/>
                <w:bCs/>
                <w:sz w:val="24"/>
                <w:szCs w:val="24"/>
                <w:lang w:val="es-MX" w:eastAsia="es-MX"/>
              </w:rPr>
            </w:pPr>
            <w:r w:rsidRPr="00CD728B">
              <w:rPr>
                <w:rFonts w:ascii="Arial Narrow" w:eastAsia="Times New Roman" w:hAnsi="Arial Narrow" w:cs="Arial"/>
                <w:b/>
                <w:bCs/>
                <w:sz w:val="24"/>
                <w:szCs w:val="24"/>
                <w:lang w:val="es-MX" w:eastAsia="es-MX"/>
              </w:rPr>
              <w:t>ICOT_PT</w:t>
            </w:r>
          </w:p>
        </w:tc>
        <w:tc>
          <w:tcPr>
            <w:tcW w:w="1114" w:type="dxa"/>
            <w:tcBorders>
              <w:top w:val="nil"/>
              <w:left w:val="nil"/>
              <w:bottom w:val="single" w:sz="8" w:space="0" w:color="auto"/>
              <w:right w:val="single" w:sz="8" w:space="0" w:color="auto"/>
            </w:tcBorders>
            <w:shd w:val="clear" w:color="000000" w:fill="33CCCC"/>
            <w:noWrap/>
            <w:vAlign w:val="center"/>
            <w:hideMark/>
          </w:tcPr>
          <w:p w:rsidR="00A211E8" w:rsidRPr="00CD728B" w:rsidRDefault="00A211E8" w:rsidP="002E7D47">
            <w:pPr>
              <w:spacing w:before="100" w:beforeAutospacing="1" w:after="100" w:afterAutospacing="1" w:line="360" w:lineRule="auto"/>
              <w:contextualSpacing/>
              <w:jc w:val="both"/>
              <w:rPr>
                <w:rFonts w:ascii="Arial Narrow" w:eastAsia="Times New Roman" w:hAnsi="Arial Narrow" w:cs="Arial"/>
                <w:b/>
                <w:bCs/>
                <w:sz w:val="24"/>
                <w:szCs w:val="24"/>
                <w:lang w:val="es-MX" w:eastAsia="es-MX"/>
              </w:rPr>
            </w:pPr>
            <w:r w:rsidRPr="00CD728B">
              <w:rPr>
                <w:rFonts w:ascii="Arial Narrow" w:eastAsia="Times New Roman" w:hAnsi="Arial Narrow" w:cs="Arial"/>
                <w:b/>
                <w:bCs/>
                <w:sz w:val="24"/>
                <w:szCs w:val="24"/>
                <w:lang w:val="es-MX" w:eastAsia="es-MX"/>
              </w:rPr>
              <w:t>ICOT_PNT</w:t>
            </w:r>
          </w:p>
        </w:tc>
      </w:tr>
      <w:tr w:rsidR="00A211E8" w:rsidRPr="00CD728B" w:rsidTr="006C722A">
        <w:trPr>
          <w:trHeight w:val="345"/>
          <w:jc w:val="center"/>
        </w:trPr>
        <w:tc>
          <w:tcPr>
            <w:tcW w:w="3745" w:type="dxa"/>
            <w:tcBorders>
              <w:top w:val="nil"/>
              <w:left w:val="single" w:sz="8" w:space="0" w:color="auto"/>
              <w:bottom w:val="single" w:sz="8" w:space="0" w:color="auto"/>
              <w:right w:val="single" w:sz="8" w:space="0" w:color="auto"/>
            </w:tcBorders>
            <w:shd w:val="clear" w:color="auto" w:fill="auto"/>
            <w:noWrap/>
            <w:vAlign w:val="center"/>
            <w:hideMark/>
          </w:tcPr>
          <w:p w:rsidR="00A211E8" w:rsidRPr="00CD728B" w:rsidRDefault="00A211E8" w:rsidP="002E7D47">
            <w:pPr>
              <w:spacing w:before="100" w:beforeAutospacing="1" w:after="100" w:afterAutospacing="1" w:line="360" w:lineRule="auto"/>
              <w:contextualSpacing/>
              <w:jc w:val="both"/>
              <w:rPr>
                <w:rFonts w:ascii="Arial Narrow" w:eastAsia="Times New Roman" w:hAnsi="Arial Narrow" w:cs="Arial"/>
                <w:sz w:val="24"/>
                <w:szCs w:val="24"/>
                <w:lang w:val="es-MX" w:eastAsia="es-MX"/>
              </w:rPr>
            </w:pPr>
            <w:r w:rsidRPr="00CD728B">
              <w:rPr>
                <w:rFonts w:ascii="Arial Narrow" w:eastAsia="Times New Roman" w:hAnsi="Arial Narrow" w:cs="Arial"/>
                <w:sz w:val="24"/>
                <w:szCs w:val="24"/>
                <w:lang w:val="es-MX" w:eastAsia="es-MX"/>
              </w:rPr>
              <w:t>Consejo de la Judicatura de la Ciudad de México</w:t>
            </w:r>
          </w:p>
        </w:tc>
        <w:tc>
          <w:tcPr>
            <w:tcW w:w="1065" w:type="dxa"/>
            <w:tcBorders>
              <w:top w:val="nil"/>
              <w:left w:val="nil"/>
              <w:bottom w:val="single" w:sz="8" w:space="0" w:color="auto"/>
              <w:right w:val="single" w:sz="8" w:space="0" w:color="auto"/>
            </w:tcBorders>
            <w:shd w:val="clear" w:color="auto" w:fill="C9C9C9" w:themeFill="accent3" w:themeFillTint="99"/>
            <w:noWrap/>
            <w:vAlign w:val="center"/>
            <w:hideMark/>
          </w:tcPr>
          <w:p w:rsidR="00A211E8" w:rsidRPr="00CD728B" w:rsidRDefault="00A211E8" w:rsidP="002E7D47">
            <w:pPr>
              <w:spacing w:before="100" w:beforeAutospacing="1" w:after="100" w:afterAutospacing="1" w:line="360" w:lineRule="auto"/>
              <w:contextualSpacing/>
              <w:jc w:val="both"/>
              <w:rPr>
                <w:rFonts w:ascii="Arial Narrow" w:eastAsia="Times New Roman" w:hAnsi="Arial Narrow" w:cs="Arial"/>
                <w:sz w:val="24"/>
                <w:szCs w:val="24"/>
                <w:lang w:val="es-MX" w:eastAsia="es-MX"/>
              </w:rPr>
            </w:pPr>
            <w:r w:rsidRPr="00CD728B">
              <w:rPr>
                <w:rFonts w:ascii="Arial Narrow" w:eastAsia="Times New Roman" w:hAnsi="Arial Narrow" w:cs="Arial"/>
                <w:sz w:val="24"/>
                <w:szCs w:val="24"/>
                <w:lang w:val="es-MX" w:eastAsia="es-MX"/>
              </w:rPr>
              <w:t>99.49</w:t>
            </w:r>
          </w:p>
        </w:tc>
        <w:tc>
          <w:tcPr>
            <w:tcW w:w="1427" w:type="dxa"/>
            <w:tcBorders>
              <w:top w:val="nil"/>
              <w:left w:val="nil"/>
              <w:bottom w:val="single" w:sz="8" w:space="0" w:color="auto"/>
              <w:right w:val="single" w:sz="8" w:space="0" w:color="auto"/>
            </w:tcBorders>
            <w:shd w:val="clear" w:color="auto" w:fill="auto"/>
            <w:noWrap/>
            <w:vAlign w:val="center"/>
            <w:hideMark/>
          </w:tcPr>
          <w:p w:rsidR="00A211E8" w:rsidRPr="00CD728B" w:rsidRDefault="00A211E8" w:rsidP="002E7D47">
            <w:pPr>
              <w:spacing w:before="100" w:beforeAutospacing="1" w:after="100" w:afterAutospacing="1" w:line="360" w:lineRule="auto"/>
              <w:contextualSpacing/>
              <w:jc w:val="both"/>
              <w:rPr>
                <w:rFonts w:ascii="Arial Narrow" w:eastAsia="Times New Roman" w:hAnsi="Arial Narrow" w:cs="Arial"/>
                <w:sz w:val="24"/>
                <w:szCs w:val="24"/>
                <w:lang w:val="es-MX" w:eastAsia="es-MX"/>
              </w:rPr>
            </w:pPr>
            <w:r w:rsidRPr="00CD728B">
              <w:rPr>
                <w:rFonts w:ascii="Arial Narrow" w:eastAsia="Times New Roman" w:hAnsi="Arial Narrow" w:cs="Arial"/>
                <w:sz w:val="24"/>
                <w:szCs w:val="24"/>
                <w:lang w:val="es-MX" w:eastAsia="es-MX"/>
              </w:rPr>
              <w:t>99.36</w:t>
            </w:r>
          </w:p>
        </w:tc>
        <w:tc>
          <w:tcPr>
            <w:tcW w:w="1114" w:type="dxa"/>
            <w:tcBorders>
              <w:top w:val="nil"/>
              <w:left w:val="nil"/>
              <w:bottom w:val="single" w:sz="8" w:space="0" w:color="auto"/>
              <w:right w:val="single" w:sz="8" w:space="0" w:color="auto"/>
            </w:tcBorders>
            <w:shd w:val="clear" w:color="auto" w:fill="auto"/>
            <w:noWrap/>
            <w:vAlign w:val="center"/>
            <w:hideMark/>
          </w:tcPr>
          <w:p w:rsidR="00A211E8" w:rsidRPr="00CD728B" w:rsidRDefault="00A211E8" w:rsidP="002E7D47">
            <w:pPr>
              <w:spacing w:before="100" w:beforeAutospacing="1" w:after="100" w:afterAutospacing="1" w:line="360" w:lineRule="auto"/>
              <w:contextualSpacing/>
              <w:jc w:val="both"/>
              <w:rPr>
                <w:rFonts w:ascii="Arial Narrow" w:eastAsia="Times New Roman" w:hAnsi="Arial Narrow" w:cs="Arial"/>
                <w:sz w:val="24"/>
                <w:szCs w:val="24"/>
                <w:lang w:val="es-MX" w:eastAsia="es-MX"/>
              </w:rPr>
            </w:pPr>
            <w:r w:rsidRPr="00CD728B">
              <w:rPr>
                <w:rFonts w:ascii="Arial Narrow" w:eastAsia="Times New Roman" w:hAnsi="Arial Narrow" w:cs="Arial"/>
                <w:sz w:val="24"/>
                <w:szCs w:val="24"/>
                <w:lang w:val="es-MX" w:eastAsia="es-MX"/>
              </w:rPr>
              <w:t>99.62</w:t>
            </w:r>
          </w:p>
        </w:tc>
      </w:tr>
      <w:tr w:rsidR="00A211E8" w:rsidRPr="00CD728B" w:rsidTr="006C722A">
        <w:trPr>
          <w:trHeight w:val="345"/>
          <w:jc w:val="center"/>
        </w:trPr>
        <w:tc>
          <w:tcPr>
            <w:tcW w:w="3745" w:type="dxa"/>
            <w:tcBorders>
              <w:top w:val="nil"/>
              <w:left w:val="single" w:sz="8" w:space="0" w:color="auto"/>
              <w:bottom w:val="single" w:sz="8" w:space="0" w:color="auto"/>
              <w:right w:val="single" w:sz="8" w:space="0" w:color="auto"/>
            </w:tcBorders>
            <w:shd w:val="clear" w:color="auto" w:fill="auto"/>
            <w:noWrap/>
            <w:vAlign w:val="center"/>
            <w:hideMark/>
          </w:tcPr>
          <w:p w:rsidR="00A211E8" w:rsidRPr="00CD728B" w:rsidRDefault="00A211E8" w:rsidP="002E7D47">
            <w:pPr>
              <w:spacing w:before="100" w:beforeAutospacing="1" w:after="100" w:afterAutospacing="1" w:line="360" w:lineRule="auto"/>
              <w:contextualSpacing/>
              <w:jc w:val="both"/>
              <w:rPr>
                <w:rFonts w:ascii="Arial Narrow" w:eastAsia="Times New Roman" w:hAnsi="Arial Narrow" w:cs="Arial"/>
                <w:sz w:val="24"/>
                <w:szCs w:val="24"/>
                <w:lang w:val="es-MX" w:eastAsia="es-MX"/>
              </w:rPr>
            </w:pPr>
            <w:r w:rsidRPr="00CD728B">
              <w:rPr>
                <w:rFonts w:ascii="Arial Narrow" w:eastAsia="Times New Roman" w:hAnsi="Arial Narrow" w:cs="Arial"/>
                <w:sz w:val="24"/>
                <w:szCs w:val="24"/>
                <w:lang w:val="es-MX" w:eastAsia="es-MX"/>
              </w:rPr>
              <w:t>Tribunal Superior de Justicia de la Ciudad de México</w:t>
            </w:r>
          </w:p>
        </w:tc>
        <w:tc>
          <w:tcPr>
            <w:tcW w:w="1065" w:type="dxa"/>
            <w:tcBorders>
              <w:top w:val="nil"/>
              <w:left w:val="nil"/>
              <w:bottom w:val="single" w:sz="8" w:space="0" w:color="auto"/>
              <w:right w:val="single" w:sz="8" w:space="0" w:color="auto"/>
            </w:tcBorders>
            <w:shd w:val="clear" w:color="auto" w:fill="C9C9C9" w:themeFill="accent3" w:themeFillTint="99"/>
            <w:noWrap/>
            <w:vAlign w:val="center"/>
            <w:hideMark/>
          </w:tcPr>
          <w:p w:rsidR="00A211E8" w:rsidRPr="00CD728B" w:rsidRDefault="00A211E8" w:rsidP="002E7D47">
            <w:pPr>
              <w:spacing w:before="100" w:beforeAutospacing="1" w:after="100" w:afterAutospacing="1" w:line="360" w:lineRule="auto"/>
              <w:contextualSpacing/>
              <w:jc w:val="both"/>
              <w:rPr>
                <w:rFonts w:ascii="Arial Narrow" w:eastAsia="Times New Roman" w:hAnsi="Arial Narrow" w:cs="Arial"/>
                <w:sz w:val="24"/>
                <w:szCs w:val="24"/>
                <w:lang w:val="es-MX" w:eastAsia="es-MX"/>
              </w:rPr>
            </w:pPr>
            <w:r w:rsidRPr="00CD728B">
              <w:rPr>
                <w:rFonts w:ascii="Arial Narrow" w:eastAsia="Times New Roman" w:hAnsi="Arial Narrow" w:cs="Arial"/>
                <w:sz w:val="24"/>
                <w:szCs w:val="24"/>
                <w:lang w:val="es-MX" w:eastAsia="es-MX"/>
              </w:rPr>
              <w:t>93.31</w:t>
            </w:r>
          </w:p>
        </w:tc>
        <w:tc>
          <w:tcPr>
            <w:tcW w:w="1427" w:type="dxa"/>
            <w:tcBorders>
              <w:top w:val="nil"/>
              <w:left w:val="nil"/>
              <w:bottom w:val="single" w:sz="8" w:space="0" w:color="auto"/>
              <w:right w:val="single" w:sz="8" w:space="0" w:color="auto"/>
            </w:tcBorders>
            <w:shd w:val="clear" w:color="auto" w:fill="auto"/>
            <w:noWrap/>
            <w:vAlign w:val="center"/>
            <w:hideMark/>
          </w:tcPr>
          <w:p w:rsidR="00A211E8" w:rsidRPr="00CD728B" w:rsidRDefault="00A211E8" w:rsidP="002E7D47">
            <w:pPr>
              <w:spacing w:before="100" w:beforeAutospacing="1" w:after="100" w:afterAutospacing="1" w:line="360" w:lineRule="auto"/>
              <w:contextualSpacing/>
              <w:jc w:val="both"/>
              <w:rPr>
                <w:rFonts w:ascii="Arial Narrow" w:eastAsia="Times New Roman" w:hAnsi="Arial Narrow" w:cs="Arial"/>
                <w:sz w:val="24"/>
                <w:szCs w:val="24"/>
                <w:lang w:val="es-MX" w:eastAsia="es-MX"/>
              </w:rPr>
            </w:pPr>
            <w:r w:rsidRPr="00CD728B">
              <w:rPr>
                <w:rFonts w:ascii="Arial Narrow" w:eastAsia="Times New Roman" w:hAnsi="Arial Narrow" w:cs="Arial"/>
                <w:sz w:val="24"/>
                <w:szCs w:val="24"/>
                <w:lang w:val="es-MX" w:eastAsia="es-MX"/>
              </w:rPr>
              <w:t>93.56</w:t>
            </w:r>
          </w:p>
        </w:tc>
        <w:tc>
          <w:tcPr>
            <w:tcW w:w="1114" w:type="dxa"/>
            <w:tcBorders>
              <w:top w:val="nil"/>
              <w:left w:val="nil"/>
              <w:bottom w:val="single" w:sz="8" w:space="0" w:color="auto"/>
              <w:right w:val="single" w:sz="8" w:space="0" w:color="auto"/>
            </w:tcBorders>
            <w:shd w:val="clear" w:color="auto" w:fill="auto"/>
            <w:noWrap/>
            <w:vAlign w:val="center"/>
            <w:hideMark/>
          </w:tcPr>
          <w:p w:rsidR="00A211E8" w:rsidRPr="00CD728B" w:rsidRDefault="00A211E8" w:rsidP="002E7D47">
            <w:pPr>
              <w:spacing w:before="100" w:beforeAutospacing="1" w:after="100" w:afterAutospacing="1" w:line="360" w:lineRule="auto"/>
              <w:contextualSpacing/>
              <w:jc w:val="both"/>
              <w:rPr>
                <w:rFonts w:ascii="Arial Narrow" w:eastAsia="Times New Roman" w:hAnsi="Arial Narrow" w:cs="Arial"/>
                <w:sz w:val="24"/>
                <w:szCs w:val="24"/>
                <w:lang w:val="es-MX" w:eastAsia="es-MX"/>
              </w:rPr>
            </w:pPr>
            <w:r w:rsidRPr="00CD728B">
              <w:rPr>
                <w:rFonts w:ascii="Arial Narrow" w:eastAsia="Times New Roman" w:hAnsi="Arial Narrow" w:cs="Arial"/>
                <w:sz w:val="24"/>
                <w:szCs w:val="24"/>
                <w:lang w:val="es-MX" w:eastAsia="es-MX"/>
              </w:rPr>
              <w:t>93.07</w:t>
            </w:r>
          </w:p>
        </w:tc>
      </w:tr>
    </w:tbl>
    <w:p w:rsidR="006C722A" w:rsidRPr="006C722A" w:rsidRDefault="006C722A" w:rsidP="006C722A">
      <w:pPr>
        <w:spacing w:before="100" w:beforeAutospacing="1" w:after="100" w:afterAutospacing="1" w:line="360" w:lineRule="auto"/>
        <w:contextualSpacing/>
        <w:jc w:val="both"/>
        <w:rPr>
          <w:rFonts w:ascii="Arial Narrow" w:hAnsi="Arial Narrow" w:cs="Arial"/>
          <w:sz w:val="20"/>
          <w:szCs w:val="24"/>
        </w:rPr>
      </w:pPr>
      <w:r w:rsidRPr="006C722A">
        <w:rPr>
          <w:rFonts w:ascii="Arial Narrow" w:hAnsi="Arial Narrow" w:cs="Arial"/>
          <w:b/>
          <w:sz w:val="20"/>
          <w:szCs w:val="24"/>
        </w:rPr>
        <w:t>Nota metodológica</w:t>
      </w:r>
      <w:r w:rsidRPr="006C722A">
        <w:rPr>
          <w:rFonts w:ascii="Arial Narrow" w:hAnsi="Arial Narrow" w:cs="Arial"/>
          <w:sz w:val="20"/>
          <w:szCs w:val="24"/>
        </w:rPr>
        <w:t>: El IGOT se</w:t>
      </w:r>
      <w:r w:rsidR="00623A69">
        <w:rPr>
          <w:rFonts w:ascii="Arial Narrow" w:hAnsi="Arial Narrow" w:cs="Arial"/>
          <w:sz w:val="20"/>
          <w:szCs w:val="24"/>
        </w:rPr>
        <w:t xml:space="preserve"> compone del promedio de ICOT-PT</w:t>
      </w:r>
      <w:r w:rsidRPr="006C722A">
        <w:rPr>
          <w:rFonts w:ascii="Arial Narrow" w:hAnsi="Arial Narrow" w:cs="Arial"/>
          <w:sz w:val="20"/>
          <w:szCs w:val="24"/>
        </w:rPr>
        <w:t xml:space="preserve"> e ICOT-PNT.</w:t>
      </w:r>
    </w:p>
    <w:p w:rsidR="00A211E8" w:rsidRPr="00CD728B" w:rsidRDefault="00A211E8"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 xml:space="preserve">En atención a la Tabla de Aplicabilidad realizada por la DEAEE del Instituto, las obligaciones que los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del Poder Judicial deben actualizar y publicar en el SIPOT de la PNT, así como en sus respectivos portales de internet son las contempladas en los siguientes </w:t>
      </w:r>
      <w:r w:rsidR="009D7771">
        <w:rPr>
          <w:rFonts w:ascii="Arial Narrow" w:hAnsi="Arial Narrow" w:cs="Arial"/>
          <w:sz w:val="24"/>
          <w:szCs w:val="24"/>
        </w:rPr>
        <w:t>Artículo</w:t>
      </w:r>
      <w:r w:rsidRPr="00CD728B">
        <w:rPr>
          <w:rFonts w:ascii="Arial Narrow" w:hAnsi="Arial Narrow" w:cs="Arial"/>
          <w:sz w:val="24"/>
          <w:szCs w:val="24"/>
        </w:rPr>
        <w:t xml:space="preserve">s: </w:t>
      </w:r>
    </w:p>
    <w:p w:rsidR="00A211E8" w:rsidRPr="00CD728B" w:rsidRDefault="009D7771" w:rsidP="002E7D47">
      <w:pPr>
        <w:pStyle w:val="Prrafodelista"/>
        <w:numPr>
          <w:ilvl w:val="0"/>
          <w:numId w:val="6"/>
        </w:numPr>
        <w:spacing w:before="100" w:beforeAutospacing="1" w:after="100" w:afterAutospacing="1" w:line="360" w:lineRule="auto"/>
        <w:jc w:val="both"/>
        <w:rPr>
          <w:rFonts w:ascii="Arial Narrow" w:hAnsi="Arial Narrow" w:cs="Arial"/>
          <w:sz w:val="24"/>
          <w:szCs w:val="24"/>
          <w:lang w:val="es-ES_tradnl"/>
        </w:rPr>
      </w:pPr>
      <w:r>
        <w:rPr>
          <w:rFonts w:ascii="Arial Narrow" w:hAnsi="Arial Narrow" w:cs="Arial"/>
          <w:sz w:val="24"/>
          <w:szCs w:val="24"/>
          <w:lang w:val="es-ES_tradnl"/>
        </w:rPr>
        <w:t>Artículo</w:t>
      </w:r>
      <w:r w:rsidR="00A211E8" w:rsidRPr="00CD728B">
        <w:rPr>
          <w:rFonts w:ascii="Arial Narrow" w:hAnsi="Arial Narrow" w:cs="Arial"/>
          <w:sz w:val="24"/>
          <w:szCs w:val="24"/>
          <w:lang w:val="es-ES_tradnl"/>
        </w:rPr>
        <w:t xml:space="preserve"> 121. Obligaciones comunes, </w:t>
      </w:r>
    </w:p>
    <w:p w:rsidR="00A211E8" w:rsidRPr="00CD728B" w:rsidRDefault="009D7771" w:rsidP="002E7D47">
      <w:pPr>
        <w:pStyle w:val="Prrafodelista"/>
        <w:numPr>
          <w:ilvl w:val="0"/>
          <w:numId w:val="6"/>
        </w:numPr>
        <w:spacing w:before="100" w:beforeAutospacing="1" w:after="100" w:afterAutospacing="1" w:line="360" w:lineRule="auto"/>
        <w:jc w:val="both"/>
        <w:rPr>
          <w:rFonts w:ascii="Arial Narrow" w:hAnsi="Arial Narrow" w:cs="Arial"/>
          <w:sz w:val="24"/>
          <w:szCs w:val="24"/>
          <w:lang w:val="es-ES_tradnl"/>
        </w:rPr>
      </w:pPr>
      <w:r>
        <w:rPr>
          <w:rFonts w:ascii="Arial Narrow" w:hAnsi="Arial Narrow" w:cs="Arial"/>
          <w:sz w:val="24"/>
          <w:szCs w:val="24"/>
          <w:lang w:val="es-ES_tradnl"/>
        </w:rPr>
        <w:t>Artículo</w:t>
      </w:r>
      <w:r w:rsidR="00A211E8" w:rsidRPr="00CD728B">
        <w:rPr>
          <w:rFonts w:ascii="Arial Narrow" w:hAnsi="Arial Narrow" w:cs="Arial"/>
          <w:sz w:val="24"/>
          <w:szCs w:val="24"/>
          <w:lang w:val="es-ES_tradnl"/>
        </w:rPr>
        <w:t xml:space="preserve"> 126. Obligaciones específicas de los Órganos del Poder Judicial de la Ciudad de México que le son aplicables al Consejo de la Judicatura de la Ciudad de México y al Tribunal Superior de Justicia de la Ciudad de México,</w:t>
      </w:r>
    </w:p>
    <w:p w:rsidR="00A211E8" w:rsidRPr="00CD728B" w:rsidRDefault="009D7771" w:rsidP="002E7D47">
      <w:pPr>
        <w:pStyle w:val="Prrafodelista"/>
        <w:numPr>
          <w:ilvl w:val="0"/>
          <w:numId w:val="6"/>
        </w:numPr>
        <w:spacing w:before="100" w:beforeAutospacing="1" w:after="100" w:afterAutospacing="1" w:line="360" w:lineRule="auto"/>
        <w:jc w:val="both"/>
        <w:rPr>
          <w:rFonts w:ascii="Arial Narrow" w:hAnsi="Arial Narrow" w:cs="Arial"/>
          <w:sz w:val="24"/>
          <w:szCs w:val="24"/>
          <w:lang w:val="es-ES_tradnl"/>
        </w:rPr>
      </w:pPr>
      <w:r>
        <w:rPr>
          <w:rFonts w:ascii="Arial Narrow" w:hAnsi="Arial Narrow" w:cs="Arial"/>
          <w:sz w:val="24"/>
          <w:szCs w:val="24"/>
          <w:lang w:val="es-ES_tradnl"/>
        </w:rPr>
        <w:t>Artículo</w:t>
      </w:r>
      <w:r w:rsidR="00A211E8" w:rsidRPr="00CD728B">
        <w:rPr>
          <w:rFonts w:ascii="Arial Narrow" w:hAnsi="Arial Narrow" w:cs="Arial"/>
          <w:sz w:val="24"/>
          <w:szCs w:val="24"/>
          <w:lang w:val="es-ES_tradnl"/>
        </w:rPr>
        <w:t xml:space="preserve"> 143. Disposiciones Particulares,</w:t>
      </w:r>
    </w:p>
    <w:p w:rsidR="00A211E8" w:rsidRPr="00CD728B" w:rsidRDefault="009D7771" w:rsidP="002E7D47">
      <w:pPr>
        <w:pStyle w:val="Prrafodelista"/>
        <w:numPr>
          <w:ilvl w:val="0"/>
          <w:numId w:val="6"/>
        </w:numPr>
        <w:spacing w:before="100" w:beforeAutospacing="1" w:after="100" w:afterAutospacing="1" w:line="360" w:lineRule="auto"/>
        <w:jc w:val="both"/>
        <w:rPr>
          <w:rFonts w:ascii="Arial Narrow" w:hAnsi="Arial Narrow" w:cs="Arial"/>
          <w:sz w:val="24"/>
          <w:szCs w:val="24"/>
          <w:lang w:val="es-ES_tradnl"/>
        </w:rPr>
      </w:pPr>
      <w:r>
        <w:rPr>
          <w:rFonts w:ascii="Arial Narrow" w:hAnsi="Arial Narrow" w:cs="Arial"/>
          <w:sz w:val="24"/>
          <w:szCs w:val="24"/>
          <w:lang w:val="es-ES_tradnl"/>
        </w:rPr>
        <w:t>Artículo</w:t>
      </w:r>
      <w:r w:rsidR="00A211E8" w:rsidRPr="00CD728B">
        <w:rPr>
          <w:rFonts w:ascii="Arial Narrow" w:hAnsi="Arial Narrow" w:cs="Arial"/>
          <w:sz w:val="24"/>
          <w:szCs w:val="24"/>
          <w:lang w:val="es-ES_tradnl"/>
        </w:rPr>
        <w:t xml:space="preserve"> 145. Disposiciones Particulares,</w:t>
      </w:r>
    </w:p>
    <w:p w:rsidR="00A211E8" w:rsidRPr="00CD728B" w:rsidRDefault="009D7771" w:rsidP="002E7D47">
      <w:pPr>
        <w:pStyle w:val="Prrafodelista"/>
        <w:numPr>
          <w:ilvl w:val="0"/>
          <w:numId w:val="6"/>
        </w:numPr>
        <w:spacing w:before="100" w:beforeAutospacing="1" w:after="100" w:afterAutospacing="1" w:line="360" w:lineRule="auto"/>
        <w:jc w:val="both"/>
        <w:rPr>
          <w:rFonts w:ascii="Arial Narrow" w:hAnsi="Arial Narrow" w:cs="Arial"/>
          <w:sz w:val="24"/>
          <w:szCs w:val="24"/>
          <w:lang w:val="es-ES_tradnl"/>
        </w:rPr>
      </w:pPr>
      <w:r>
        <w:rPr>
          <w:rFonts w:ascii="Arial Narrow" w:hAnsi="Arial Narrow" w:cs="Arial"/>
          <w:sz w:val="24"/>
          <w:szCs w:val="24"/>
          <w:lang w:val="es-ES_tradnl"/>
        </w:rPr>
        <w:t>Artículo</w:t>
      </w:r>
      <w:r w:rsidR="00A211E8" w:rsidRPr="00CD728B">
        <w:rPr>
          <w:rFonts w:ascii="Arial Narrow" w:hAnsi="Arial Narrow" w:cs="Arial"/>
          <w:sz w:val="24"/>
          <w:szCs w:val="24"/>
          <w:lang w:val="es-ES_tradnl"/>
        </w:rPr>
        <w:t xml:space="preserve"> 146. Disposiciones Particulares, y </w:t>
      </w:r>
    </w:p>
    <w:p w:rsidR="00A211E8" w:rsidRPr="00CD728B" w:rsidRDefault="009D7771" w:rsidP="002E7D47">
      <w:pPr>
        <w:pStyle w:val="Prrafodelista"/>
        <w:numPr>
          <w:ilvl w:val="0"/>
          <w:numId w:val="6"/>
        </w:numPr>
        <w:spacing w:before="100" w:beforeAutospacing="1" w:after="100" w:afterAutospacing="1" w:line="360" w:lineRule="auto"/>
        <w:jc w:val="both"/>
        <w:rPr>
          <w:rFonts w:ascii="Arial Narrow" w:hAnsi="Arial Narrow" w:cs="Arial"/>
          <w:sz w:val="24"/>
          <w:szCs w:val="24"/>
          <w:lang w:val="es-ES_tradnl"/>
        </w:rPr>
      </w:pPr>
      <w:r>
        <w:rPr>
          <w:rFonts w:ascii="Arial Narrow" w:hAnsi="Arial Narrow" w:cs="Arial"/>
          <w:sz w:val="24"/>
          <w:szCs w:val="24"/>
          <w:lang w:val="es-ES_tradnl"/>
        </w:rPr>
        <w:t>Artículo</w:t>
      </w:r>
      <w:r w:rsidR="00A211E8" w:rsidRPr="00CD728B">
        <w:rPr>
          <w:rFonts w:ascii="Arial Narrow" w:hAnsi="Arial Narrow" w:cs="Arial"/>
          <w:sz w:val="24"/>
          <w:szCs w:val="24"/>
          <w:lang w:val="es-ES_tradnl"/>
        </w:rPr>
        <w:t xml:space="preserve"> 147. Disposiciones Particulares.</w:t>
      </w:r>
    </w:p>
    <w:p w:rsidR="00B37D60" w:rsidRPr="00CD728B" w:rsidRDefault="00B37D60" w:rsidP="002E7D47">
      <w:pPr>
        <w:spacing w:before="100" w:beforeAutospacing="1" w:after="100" w:afterAutospacing="1" w:line="360" w:lineRule="auto"/>
        <w:contextualSpacing/>
        <w:jc w:val="both"/>
        <w:rPr>
          <w:rFonts w:ascii="Arial Narrow" w:hAnsi="Arial Narrow" w:cs="Arial"/>
          <w:sz w:val="24"/>
          <w:szCs w:val="24"/>
        </w:rPr>
      </w:pPr>
    </w:p>
    <w:p w:rsidR="00A211E8" w:rsidRPr="00CD728B" w:rsidRDefault="00A211E8" w:rsidP="002E7D47">
      <w:pPr>
        <w:pStyle w:val="Ttulo3"/>
        <w:numPr>
          <w:ilvl w:val="1"/>
          <w:numId w:val="23"/>
        </w:numPr>
        <w:contextualSpacing/>
        <w:jc w:val="both"/>
        <w:rPr>
          <w:rFonts w:ascii="Arial Narrow" w:hAnsi="Arial Narrow"/>
          <w:b/>
          <w:color w:val="auto"/>
        </w:rPr>
      </w:pPr>
      <w:bookmarkStart w:id="56" w:name="_Toc14293757"/>
      <w:r w:rsidRPr="00CD728B">
        <w:rPr>
          <w:rFonts w:ascii="Arial Narrow" w:hAnsi="Arial Narrow"/>
          <w:b/>
          <w:color w:val="auto"/>
        </w:rPr>
        <w:lastRenderedPageBreak/>
        <w:t>Análisis global de cumplimiento del Poder Judicial</w:t>
      </w:r>
      <w:bookmarkEnd w:id="56"/>
    </w:p>
    <w:p w:rsidR="008B1EAC" w:rsidRPr="00CD728B" w:rsidRDefault="008B1EAC" w:rsidP="008B1EAC">
      <w:pPr>
        <w:rPr>
          <w:rFonts w:ascii="Arial Narrow" w:hAnsi="Arial Narrow"/>
        </w:rPr>
      </w:pPr>
    </w:p>
    <w:p w:rsidR="00A211E8" w:rsidRPr="00CD728B" w:rsidRDefault="00A211E8" w:rsidP="002E7D47">
      <w:pPr>
        <w:spacing w:before="100" w:beforeAutospacing="1" w:after="100" w:afterAutospacing="1" w:line="360" w:lineRule="auto"/>
        <w:contextualSpacing/>
        <w:jc w:val="both"/>
        <w:rPr>
          <w:rFonts w:ascii="Arial Narrow" w:hAnsi="Arial Narrow" w:cs="Arial"/>
          <w:sz w:val="24"/>
          <w:szCs w:val="24"/>
          <w:u w:val="single"/>
        </w:rPr>
      </w:pPr>
      <w:r w:rsidRPr="00CD728B">
        <w:rPr>
          <w:rFonts w:ascii="Arial Narrow" w:hAnsi="Arial Narrow" w:cs="Arial"/>
          <w:sz w:val="24"/>
          <w:szCs w:val="24"/>
          <w:u w:val="single"/>
        </w:rPr>
        <w:t>Índices Globales de Cumplimiento del Poder Judicial de la Ciudad de México</w:t>
      </w:r>
    </w:p>
    <w:p w:rsidR="008B1EAC" w:rsidRPr="00CD728B" w:rsidRDefault="008B1EAC" w:rsidP="002E7D47">
      <w:pPr>
        <w:spacing w:before="100" w:beforeAutospacing="1" w:after="100" w:afterAutospacing="1" w:line="360" w:lineRule="auto"/>
        <w:contextualSpacing/>
        <w:jc w:val="both"/>
        <w:rPr>
          <w:rFonts w:ascii="Arial Narrow" w:hAnsi="Arial Narrow" w:cs="Arial"/>
          <w:sz w:val="24"/>
          <w:szCs w:val="24"/>
          <w:u w:val="single"/>
        </w:rPr>
      </w:pPr>
    </w:p>
    <w:p w:rsidR="00A211E8" w:rsidRPr="00CD728B" w:rsidRDefault="00A211E8"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 xml:space="preserve">Con relación al IGOT, la calificación obtenida por el Consejo de la Judicatura de la Ciudad de México fue de 99.49% y por el Tribunal Superior de Justicia de la Ciudad de México fue de </w:t>
      </w:r>
      <w:r w:rsidR="008B1EAC" w:rsidRPr="00CD728B">
        <w:rPr>
          <w:rFonts w:ascii="Arial Narrow" w:hAnsi="Arial Narrow" w:cs="Arial"/>
          <w:sz w:val="24"/>
          <w:szCs w:val="24"/>
        </w:rPr>
        <w:t>93.31</w:t>
      </w:r>
      <w:r w:rsidRPr="00CD728B">
        <w:rPr>
          <w:rFonts w:ascii="Arial Narrow" w:hAnsi="Arial Narrow" w:cs="Arial"/>
          <w:sz w:val="24"/>
          <w:szCs w:val="24"/>
        </w:rPr>
        <w:t xml:space="preserve">%; alcanzando entre los dos una calificación de </w:t>
      </w:r>
      <w:r w:rsidR="008B1EAC" w:rsidRPr="00CD728B">
        <w:rPr>
          <w:rFonts w:ascii="Arial Narrow" w:hAnsi="Arial Narrow" w:cs="Arial"/>
          <w:sz w:val="24"/>
          <w:szCs w:val="24"/>
        </w:rPr>
        <w:t>96.4</w:t>
      </w:r>
      <w:r w:rsidRPr="00CD728B">
        <w:rPr>
          <w:rFonts w:ascii="Arial Narrow" w:hAnsi="Arial Narrow" w:cs="Arial"/>
          <w:sz w:val="24"/>
          <w:szCs w:val="24"/>
        </w:rPr>
        <w:t>%, colocándolos en el rango de cumplimiento parcial de la publicación de los Lineamientos y Metodología de Evaluación de las Obligaciones de Transparencia.</w:t>
      </w:r>
    </w:p>
    <w:p w:rsidR="008B1EAC" w:rsidRPr="00CD728B" w:rsidRDefault="008B1EAC" w:rsidP="002E7D47">
      <w:pPr>
        <w:spacing w:before="100" w:beforeAutospacing="1" w:after="100" w:afterAutospacing="1" w:line="360" w:lineRule="auto"/>
        <w:contextualSpacing/>
        <w:jc w:val="both"/>
        <w:rPr>
          <w:rFonts w:ascii="Arial Narrow" w:hAnsi="Arial Narrow" w:cs="Arial"/>
          <w:sz w:val="24"/>
          <w:szCs w:val="24"/>
        </w:rPr>
      </w:pPr>
    </w:p>
    <w:p w:rsidR="00A211E8" w:rsidRPr="00CD728B" w:rsidRDefault="00A211E8"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 xml:space="preserve">En este orden de gobierno existe un grado de cumplimiento de </w:t>
      </w:r>
      <w:r w:rsidR="008B1EAC" w:rsidRPr="00CD728B">
        <w:rPr>
          <w:rFonts w:ascii="Arial Narrow" w:hAnsi="Arial Narrow" w:cs="Arial"/>
          <w:sz w:val="24"/>
          <w:szCs w:val="24"/>
        </w:rPr>
        <w:t>96.4</w:t>
      </w:r>
      <w:r w:rsidRPr="00CD728B">
        <w:rPr>
          <w:rFonts w:ascii="Arial Narrow" w:hAnsi="Arial Narrow" w:cs="Arial"/>
          <w:sz w:val="24"/>
          <w:szCs w:val="24"/>
        </w:rPr>
        <w:t>% en lo que respecta a la publicación g</w:t>
      </w:r>
      <w:r w:rsidR="00B37D60" w:rsidRPr="00CD728B">
        <w:rPr>
          <w:rFonts w:ascii="Arial Narrow" w:hAnsi="Arial Narrow" w:cs="Arial"/>
          <w:sz w:val="24"/>
          <w:szCs w:val="24"/>
        </w:rPr>
        <w:t xml:space="preserve">eneral de la información, </w:t>
      </w:r>
      <w:r w:rsidR="008B1EAC" w:rsidRPr="00CD728B">
        <w:rPr>
          <w:rFonts w:ascii="Arial Narrow" w:hAnsi="Arial Narrow" w:cs="Arial"/>
          <w:sz w:val="24"/>
          <w:szCs w:val="24"/>
        </w:rPr>
        <w:t>96.34</w:t>
      </w:r>
      <w:r w:rsidRPr="00CD728B">
        <w:rPr>
          <w:rFonts w:ascii="Arial Narrow" w:hAnsi="Arial Narrow" w:cs="Arial"/>
          <w:sz w:val="24"/>
          <w:szCs w:val="24"/>
        </w:rPr>
        <w:t xml:space="preserve">% en la PNT y </w:t>
      </w:r>
      <w:r w:rsidR="008B1EAC" w:rsidRPr="00CD728B">
        <w:rPr>
          <w:rFonts w:ascii="Arial Narrow" w:hAnsi="Arial Narrow" w:cs="Arial"/>
          <w:sz w:val="24"/>
          <w:szCs w:val="24"/>
        </w:rPr>
        <w:t>96.46</w:t>
      </w:r>
      <w:r w:rsidRPr="00CD728B">
        <w:rPr>
          <w:rFonts w:ascii="Arial Narrow" w:hAnsi="Arial Narrow" w:cs="Arial"/>
          <w:sz w:val="24"/>
          <w:szCs w:val="24"/>
        </w:rPr>
        <w:t xml:space="preserve">% en los portales institucionales de los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w:t>
      </w:r>
    </w:p>
    <w:p w:rsidR="008B1EAC" w:rsidRPr="00CD728B" w:rsidRDefault="008B1EAC" w:rsidP="002E7D47">
      <w:pPr>
        <w:spacing w:before="100" w:beforeAutospacing="1" w:after="100" w:afterAutospacing="1" w:line="360" w:lineRule="auto"/>
        <w:contextualSpacing/>
        <w:jc w:val="both"/>
        <w:rPr>
          <w:rFonts w:ascii="Arial Narrow" w:hAnsi="Arial Narrow" w:cs="Arial"/>
          <w:sz w:val="24"/>
          <w:szCs w:val="24"/>
        </w:rPr>
      </w:pPr>
    </w:p>
    <w:p w:rsidR="00A211E8" w:rsidRPr="00CD728B" w:rsidRDefault="00A211E8" w:rsidP="002E7D47">
      <w:pPr>
        <w:spacing w:before="100" w:beforeAutospacing="1" w:after="100" w:afterAutospacing="1" w:line="360" w:lineRule="auto"/>
        <w:contextualSpacing/>
        <w:jc w:val="both"/>
        <w:rPr>
          <w:rFonts w:ascii="Arial Narrow" w:hAnsi="Arial Narrow" w:cs="Arial"/>
          <w:sz w:val="24"/>
          <w:szCs w:val="24"/>
          <w:u w:val="single"/>
        </w:rPr>
      </w:pPr>
      <w:r w:rsidRPr="00CD728B">
        <w:rPr>
          <w:rFonts w:ascii="Arial Narrow" w:hAnsi="Arial Narrow" w:cs="Arial"/>
          <w:sz w:val="24"/>
          <w:szCs w:val="24"/>
          <w:u w:val="single"/>
        </w:rPr>
        <w:t xml:space="preserve">Cumplimiento diferenciado por </w:t>
      </w:r>
      <w:r w:rsidR="009D7771">
        <w:rPr>
          <w:rFonts w:ascii="Arial Narrow" w:hAnsi="Arial Narrow" w:cs="Arial"/>
          <w:sz w:val="24"/>
          <w:szCs w:val="24"/>
          <w:u w:val="single"/>
        </w:rPr>
        <w:t>Artículo</w:t>
      </w:r>
      <w:r w:rsidRPr="00CD728B">
        <w:rPr>
          <w:rFonts w:ascii="Arial Narrow" w:hAnsi="Arial Narrow" w:cs="Arial"/>
          <w:sz w:val="24"/>
          <w:szCs w:val="24"/>
          <w:u w:val="single"/>
        </w:rPr>
        <w:t xml:space="preserve">s </w:t>
      </w:r>
    </w:p>
    <w:p w:rsidR="008B1EAC" w:rsidRPr="00CD728B" w:rsidRDefault="008B1EAC" w:rsidP="002E7D47">
      <w:pPr>
        <w:spacing w:before="100" w:beforeAutospacing="1" w:after="100" w:afterAutospacing="1" w:line="360" w:lineRule="auto"/>
        <w:contextualSpacing/>
        <w:jc w:val="both"/>
        <w:rPr>
          <w:rFonts w:ascii="Arial Narrow" w:hAnsi="Arial Narrow" w:cs="Arial"/>
          <w:sz w:val="24"/>
          <w:szCs w:val="24"/>
          <w:u w:val="single"/>
        </w:rPr>
      </w:pPr>
    </w:p>
    <w:p w:rsidR="00A211E8" w:rsidRPr="00CD728B" w:rsidRDefault="00A211E8"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 xml:space="preserve">Con relación al tipo de obligaciones de transparencia, este orden de gobierno del ámbito judicial ha cumplido parcialmente con la publicación y actualización de sus obligaciones comunes, específicas y disposiciones particulares; obteniendo un promedio de cumplimiento de 93.58%, 93.79% y 100% respectivamente. </w:t>
      </w:r>
    </w:p>
    <w:p w:rsidR="008B1EAC" w:rsidRPr="00CD728B" w:rsidRDefault="008B1EAC" w:rsidP="002E7D47">
      <w:pPr>
        <w:spacing w:before="100" w:beforeAutospacing="1" w:after="100" w:afterAutospacing="1" w:line="360" w:lineRule="auto"/>
        <w:contextualSpacing/>
        <w:jc w:val="both"/>
        <w:rPr>
          <w:rFonts w:ascii="Arial Narrow" w:hAnsi="Arial Narrow" w:cs="Arial"/>
          <w:sz w:val="24"/>
          <w:szCs w:val="24"/>
        </w:rPr>
      </w:pPr>
    </w:p>
    <w:p w:rsidR="00A211E8" w:rsidRPr="00CD728B" w:rsidRDefault="00A211E8"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 xml:space="preserve">En esta misma línea, </w:t>
      </w:r>
      <w:r w:rsidR="00D5297A">
        <w:rPr>
          <w:rFonts w:ascii="Arial Narrow" w:hAnsi="Arial Narrow" w:cs="Arial"/>
          <w:sz w:val="24"/>
          <w:szCs w:val="24"/>
        </w:rPr>
        <w:t xml:space="preserve">los </w:t>
      </w:r>
      <w:r w:rsidR="009D7771">
        <w:rPr>
          <w:rFonts w:ascii="Arial Narrow" w:hAnsi="Arial Narrow" w:cs="Arial"/>
          <w:sz w:val="24"/>
          <w:szCs w:val="24"/>
        </w:rPr>
        <w:t>Artículo</w:t>
      </w:r>
      <w:r w:rsidR="00D5297A">
        <w:rPr>
          <w:rFonts w:ascii="Arial Narrow" w:hAnsi="Arial Narrow" w:cs="Arial"/>
          <w:sz w:val="24"/>
          <w:szCs w:val="24"/>
        </w:rPr>
        <w:t>s 143,</w:t>
      </w:r>
      <w:r w:rsidRPr="00CD728B">
        <w:rPr>
          <w:rFonts w:ascii="Arial Narrow" w:hAnsi="Arial Narrow" w:cs="Arial"/>
          <w:sz w:val="24"/>
          <w:szCs w:val="24"/>
        </w:rPr>
        <w:t xml:space="preserve"> 145</w:t>
      </w:r>
      <w:r w:rsidR="00D5297A">
        <w:rPr>
          <w:rFonts w:ascii="Arial Narrow" w:hAnsi="Arial Narrow" w:cs="Arial"/>
          <w:sz w:val="24"/>
          <w:szCs w:val="24"/>
        </w:rPr>
        <w:t xml:space="preserve">, 146, 147 tuvieron un </w:t>
      </w:r>
      <w:r w:rsidRPr="00CD728B">
        <w:rPr>
          <w:rFonts w:ascii="Arial Narrow" w:hAnsi="Arial Narrow" w:cs="Arial"/>
          <w:sz w:val="24"/>
          <w:szCs w:val="24"/>
        </w:rPr>
        <w:t xml:space="preserve">ICP de 100, el 121 alcanzó un ICP de 93.58%, el 143 obtuvo 100%, el 126 alcanzó 93.79% y por último el 146 cumplió totalmente con 100%. </w:t>
      </w:r>
    </w:p>
    <w:p w:rsidR="00A211E8" w:rsidRPr="00CD728B" w:rsidRDefault="00A211E8" w:rsidP="002E7D47">
      <w:pPr>
        <w:pStyle w:val="Ttulo3"/>
        <w:numPr>
          <w:ilvl w:val="1"/>
          <w:numId w:val="23"/>
        </w:numPr>
        <w:contextualSpacing/>
        <w:jc w:val="both"/>
        <w:rPr>
          <w:rFonts w:ascii="Arial Narrow" w:hAnsi="Arial Narrow"/>
          <w:b/>
          <w:color w:val="auto"/>
        </w:rPr>
      </w:pPr>
      <w:bookmarkStart w:id="57" w:name="_Toc14293758"/>
      <w:r w:rsidRPr="00CD728B">
        <w:rPr>
          <w:rFonts w:ascii="Arial Narrow" w:hAnsi="Arial Narrow"/>
          <w:b/>
          <w:color w:val="auto"/>
        </w:rPr>
        <w:t xml:space="preserve">Análisis del </w:t>
      </w:r>
      <w:r w:rsidR="009D7771">
        <w:rPr>
          <w:rFonts w:ascii="Arial Narrow" w:hAnsi="Arial Narrow"/>
          <w:b/>
          <w:color w:val="auto"/>
        </w:rPr>
        <w:t>Artículo</w:t>
      </w:r>
      <w:r w:rsidRPr="00CD728B">
        <w:rPr>
          <w:rFonts w:ascii="Arial Narrow" w:hAnsi="Arial Narrow"/>
          <w:b/>
          <w:color w:val="auto"/>
        </w:rPr>
        <w:t xml:space="preserve"> 121 y sus respectivas fracciones</w:t>
      </w:r>
      <w:bookmarkEnd w:id="57"/>
    </w:p>
    <w:p w:rsidR="00A211E8" w:rsidRPr="00CD728B" w:rsidRDefault="00A211E8"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 xml:space="preserve">Los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del poder judicial obtuvieron un ICP en este </w:t>
      </w:r>
      <w:r w:rsidR="009D7771">
        <w:rPr>
          <w:rFonts w:ascii="Arial Narrow" w:hAnsi="Arial Narrow" w:cs="Arial"/>
          <w:sz w:val="24"/>
          <w:szCs w:val="24"/>
        </w:rPr>
        <w:t>Artículo</w:t>
      </w:r>
      <w:r w:rsidRPr="00CD728B">
        <w:rPr>
          <w:rFonts w:ascii="Arial Narrow" w:hAnsi="Arial Narrow" w:cs="Arial"/>
          <w:sz w:val="24"/>
          <w:szCs w:val="24"/>
        </w:rPr>
        <w:t xml:space="preserve"> de 93.58% por lo que se encuentra dentro del área de cumplimiento parcial. Las observaciones en general son verificar el </w:t>
      </w:r>
      <w:r w:rsidRPr="00CD728B">
        <w:rPr>
          <w:rFonts w:ascii="Arial Narrow" w:hAnsi="Arial Narrow" w:cs="Arial"/>
          <w:sz w:val="24"/>
          <w:szCs w:val="24"/>
        </w:rPr>
        <w:lastRenderedPageBreak/>
        <w:t>correcto funcionamien</w:t>
      </w:r>
      <w:r w:rsidR="00B37D60" w:rsidRPr="00CD728B">
        <w:rPr>
          <w:rFonts w:ascii="Arial Narrow" w:hAnsi="Arial Narrow" w:cs="Arial"/>
          <w:sz w:val="24"/>
          <w:szCs w:val="24"/>
        </w:rPr>
        <w:t xml:space="preserve">to de los hipervínculos, </w:t>
      </w:r>
      <w:r w:rsidR="008B1EAC" w:rsidRPr="00CD728B">
        <w:rPr>
          <w:rFonts w:ascii="Arial Narrow" w:hAnsi="Arial Narrow" w:cs="Arial"/>
          <w:sz w:val="24"/>
          <w:szCs w:val="24"/>
        </w:rPr>
        <w:t>y en el supuesto de no contar con la información que mandata la norma, los sujetos obligados deberán explicar en lenguaje ciudadano con base en los fundamentos legales y las causas específicas que originaron la ausencia de la misma; así como, el procedimiento que están llevando a cabo para la generación o recuperación de la información</w:t>
      </w:r>
    </w:p>
    <w:p w:rsidR="00A211E8" w:rsidRPr="00CD728B" w:rsidRDefault="00A211E8" w:rsidP="002E7D47">
      <w:pPr>
        <w:pStyle w:val="Ttulo3"/>
        <w:numPr>
          <w:ilvl w:val="1"/>
          <w:numId w:val="23"/>
        </w:numPr>
        <w:contextualSpacing/>
        <w:jc w:val="both"/>
        <w:rPr>
          <w:rFonts w:ascii="Arial Narrow" w:hAnsi="Arial Narrow"/>
          <w:b/>
          <w:color w:val="auto"/>
        </w:rPr>
      </w:pPr>
      <w:bookmarkStart w:id="58" w:name="_Toc14293759"/>
      <w:r w:rsidRPr="00CD728B">
        <w:rPr>
          <w:rFonts w:ascii="Arial Narrow" w:hAnsi="Arial Narrow"/>
          <w:b/>
          <w:color w:val="auto"/>
        </w:rPr>
        <w:t xml:space="preserve">Análisis del </w:t>
      </w:r>
      <w:r w:rsidR="009D7771">
        <w:rPr>
          <w:rFonts w:ascii="Arial Narrow" w:hAnsi="Arial Narrow"/>
          <w:b/>
          <w:color w:val="auto"/>
        </w:rPr>
        <w:t>Artículo</w:t>
      </w:r>
      <w:r w:rsidRPr="00CD728B">
        <w:rPr>
          <w:rFonts w:ascii="Arial Narrow" w:hAnsi="Arial Narrow"/>
          <w:b/>
          <w:color w:val="auto"/>
        </w:rPr>
        <w:t xml:space="preserve"> 126 y sus respectivas fracciones</w:t>
      </w:r>
      <w:bookmarkEnd w:id="58"/>
    </w:p>
    <w:p w:rsidR="00A211E8" w:rsidRPr="00CD728B" w:rsidRDefault="00A211E8"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 xml:space="preserve">Los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del poder judicial obtuvieron un ICP de 93.79%; por lo que se encuentra dentro del área de cumplimiento parcial. </w:t>
      </w:r>
    </w:p>
    <w:p w:rsidR="00A211E8" w:rsidRPr="00CD728B" w:rsidRDefault="00A211E8" w:rsidP="002E7D47">
      <w:pPr>
        <w:pStyle w:val="Ttulo3"/>
        <w:numPr>
          <w:ilvl w:val="1"/>
          <w:numId w:val="23"/>
        </w:numPr>
        <w:contextualSpacing/>
        <w:jc w:val="both"/>
        <w:rPr>
          <w:rFonts w:ascii="Arial Narrow" w:hAnsi="Arial Narrow"/>
          <w:b/>
          <w:color w:val="auto"/>
        </w:rPr>
      </w:pPr>
      <w:bookmarkStart w:id="59" w:name="_Toc14293760"/>
      <w:r w:rsidRPr="00CD728B">
        <w:rPr>
          <w:rFonts w:ascii="Arial Narrow" w:hAnsi="Arial Narrow"/>
          <w:b/>
          <w:color w:val="auto"/>
        </w:rPr>
        <w:t xml:space="preserve">Análisis del </w:t>
      </w:r>
      <w:r w:rsidR="009D7771">
        <w:rPr>
          <w:rFonts w:ascii="Arial Narrow" w:hAnsi="Arial Narrow"/>
          <w:b/>
          <w:color w:val="auto"/>
        </w:rPr>
        <w:t>Artículo</w:t>
      </w:r>
      <w:r w:rsidRPr="00CD728B">
        <w:rPr>
          <w:rFonts w:ascii="Arial Narrow" w:hAnsi="Arial Narrow"/>
          <w:b/>
          <w:color w:val="auto"/>
        </w:rPr>
        <w:t xml:space="preserve"> 143</w:t>
      </w:r>
      <w:bookmarkEnd w:id="59"/>
    </w:p>
    <w:p w:rsidR="00A211E8" w:rsidRPr="00CD728B" w:rsidRDefault="00A211E8"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 xml:space="preserve">Los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de este ámbito de gobierno alcanzaron un ICP en este </w:t>
      </w:r>
      <w:r w:rsidR="009D7771">
        <w:rPr>
          <w:rFonts w:ascii="Arial Narrow" w:hAnsi="Arial Narrow" w:cs="Arial"/>
          <w:sz w:val="24"/>
          <w:szCs w:val="24"/>
        </w:rPr>
        <w:t>Artículo</w:t>
      </w:r>
      <w:r w:rsidRPr="00CD728B">
        <w:rPr>
          <w:rFonts w:ascii="Arial Narrow" w:hAnsi="Arial Narrow" w:cs="Arial"/>
          <w:sz w:val="24"/>
          <w:szCs w:val="24"/>
        </w:rPr>
        <w:t xml:space="preserve"> de 100%; por lo que se encuentra dentro del área de cumplimiento total. </w:t>
      </w:r>
    </w:p>
    <w:p w:rsidR="00A211E8" w:rsidRPr="00CD728B" w:rsidRDefault="00A211E8" w:rsidP="002E7D47">
      <w:pPr>
        <w:pStyle w:val="Ttulo3"/>
        <w:numPr>
          <w:ilvl w:val="1"/>
          <w:numId w:val="23"/>
        </w:numPr>
        <w:contextualSpacing/>
        <w:jc w:val="both"/>
        <w:rPr>
          <w:rFonts w:ascii="Arial Narrow" w:hAnsi="Arial Narrow"/>
          <w:b/>
          <w:color w:val="auto"/>
        </w:rPr>
      </w:pPr>
      <w:bookmarkStart w:id="60" w:name="_Toc14293761"/>
      <w:r w:rsidRPr="00CD728B">
        <w:rPr>
          <w:rFonts w:ascii="Arial Narrow" w:hAnsi="Arial Narrow"/>
          <w:b/>
          <w:color w:val="auto"/>
        </w:rPr>
        <w:t xml:space="preserve">Análisis del </w:t>
      </w:r>
      <w:r w:rsidR="009D7771">
        <w:rPr>
          <w:rFonts w:ascii="Arial Narrow" w:hAnsi="Arial Narrow"/>
          <w:b/>
          <w:color w:val="auto"/>
        </w:rPr>
        <w:t>Artículo</w:t>
      </w:r>
      <w:r w:rsidRPr="00CD728B">
        <w:rPr>
          <w:rFonts w:ascii="Arial Narrow" w:hAnsi="Arial Narrow"/>
          <w:b/>
          <w:color w:val="auto"/>
        </w:rPr>
        <w:t xml:space="preserve"> 145</w:t>
      </w:r>
      <w:bookmarkEnd w:id="60"/>
    </w:p>
    <w:p w:rsidR="00A211E8" w:rsidRPr="00CD728B" w:rsidRDefault="00A211E8"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 xml:space="preserve">En lo que respecta a este </w:t>
      </w:r>
      <w:r w:rsidR="009D7771">
        <w:rPr>
          <w:rFonts w:ascii="Arial Narrow" w:hAnsi="Arial Narrow" w:cs="Arial"/>
          <w:sz w:val="24"/>
          <w:szCs w:val="24"/>
        </w:rPr>
        <w:t>Artículo</w:t>
      </w:r>
      <w:r w:rsidRPr="00CD728B">
        <w:rPr>
          <w:rFonts w:ascii="Arial Narrow" w:hAnsi="Arial Narrow" w:cs="Arial"/>
          <w:sz w:val="24"/>
          <w:szCs w:val="24"/>
        </w:rPr>
        <w:t xml:space="preserve">, el Poder Judicial obtuvo un ICP de 100%; lo anterior en atención a que los 2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cumplieron totalmente con una señalización fácilmente identificable y accesible que permite a la ciudadanía ingresar al sitio de transparencia. </w:t>
      </w:r>
    </w:p>
    <w:p w:rsidR="00A211E8" w:rsidRPr="00CD728B" w:rsidRDefault="00A211E8" w:rsidP="002E7D47">
      <w:pPr>
        <w:pStyle w:val="Ttulo3"/>
        <w:numPr>
          <w:ilvl w:val="1"/>
          <w:numId w:val="23"/>
        </w:numPr>
        <w:contextualSpacing/>
        <w:jc w:val="both"/>
        <w:rPr>
          <w:rFonts w:ascii="Arial Narrow" w:hAnsi="Arial Narrow"/>
          <w:b/>
          <w:color w:val="auto"/>
        </w:rPr>
      </w:pPr>
      <w:bookmarkStart w:id="61" w:name="_Toc14293762"/>
      <w:r w:rsidRPr="00CD728B">
        <w:rPr>
          <w:rFonts w:ascii="Arial Narrow" w:hAnsi="Arial Narrow"/>
          <w:b/>
          <w:color w:val="auto"/>
        </w:rPr>
        <w:t xml:space="preserve">Análisis del </w:t>
      </w:r>
      <w:r w:rsidR="009D7771">
        <w:rPr>
          <w:rFonts w:ascii="Arial Narrow" w:hAnsi="Arial Narrow"/>
          <w:b/>
          <w:color w:val="auto"/>
        </w:rPr>
        <w:t>Artículo</w:t>
      </w:r>
      <w:r w:rsidRPr="00CD728B">
        <w:rPr>
          <w:rFonts w:ascii="Arial Narrow" w:hAnsi="Arial Narrow"/>
          <w:b/>
          <w:color w:val="auto"/>
        </w:rPr>
        <w:t xml:space="preserve"> 146</w:t>
      </w:r>
      <w:bookmarkEnd w:id="61"/>
    </w:p>
    <w:p w:rsidR="00A211E8" w:rsidRPr="00CD728B" w:rsidRDefault="00A211E8"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 xml:space="preserve">Sobre este </w:t>
      </w:r>
      <w:r w:rsidR="009D7771">
        <w:rPr>
          <w:rFonts w:ascii="Arial Narrow" w:hAnsi="Arial Narrow" w:cs="Arial"/>
          <w:sz w:val="24"/>
          <w:szCs w:val="24"/>
        </w:rPr>
        <w:t>Artículo</w:t>
      </w:r>
      <w:r w:rsidRPr="00CD728B">
        <w:rPr>
          <w:rFonts w:ascii="Arial Narrow" w:hAnsi="Arial Narrow" w:cs="Arial"/>
          <w:sz w:val="24"/>
          <w:szCs w:val="24"/>
        </w:rPr>
        <w:t xml:space="preserve">, este ámbito de gobierno obtuvo un ICP de 100%; debido a que los dos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cumplieron totalmente con lo establecido en el </w:t>
      </w:r>
      <w:r w:rsidR="009D7771">
        <w:rPr>
          <w:rFonts w:ascii="Arial Narrow" w:hAnsi="Arial Narrow" w:cs="Arial"/>
          <w:sz w:val="24"/>
          <w:szCs w:val="24"/>
        </w:rPr>
        <w:t>Artículo</w:t>
      </w:r>
      <w:r w:rsidRPr="00CD728B">
        <w:rPr>
          <w:rFonts w:ascii="Arial Narrow" w:hAnsi="Arial Narrow" w:cs="Arial"/>
          <w:sz w:val="24"/>
          <w:szCs w:val="24"/>
        </w:rPr>
        <w:t>.</w:t>
      </w:r>
    </w:p>
    <w:p w:rsidR="00A211E8" w:rsidRPr="00CD728B" w:rsidRDefault="00A211E8" w:rsidP="002E7D47">
      <w:pPr>
        <w:pStyle w:val="Ttulo3"/>
        <w:numPr>
          <w:ilvl w:val="1"/>
          <w:numId w:val="23"/>
        </w:numPr>
        <w:contextualSpacing/>
        <w:jc w:val="both"/>
        <w:rPr>
          <w:rFonts w:ascii="Arial Narrow" w:hAnsi="Arial Narrow"/>
          <w:b/>
          <w:color w:val="auto"/>
        </w:rPr>
      </w:pPr>
      <w:bookmarkStart w:id="62" w:name="_Toc14293763"/>
      <w:r w:rsidRPr="00CD728B">
        <w:rPr>
          <w:rFonts w:ascii="Arial Narrow" w:hAnsi="Arial Narrow"/>
          <w:b/>
          <w:color w:val="auto"/>
        </w:rPr>
        <w:t xml:space="preserve">Análisis del </w:t>
      </w:r>
      <w:r w:rsidR="009D7771">
        <w:rPr>
          <w:rFonts w:ascii="Arial Narrow" w:hAnsi="Arial Narrow"/>
          <w:b/>
          <w:color w:val="auto"/>
        </w:rPr>
        <w:t>Artículo</w:t>
      </w:r>
      <w:r w:rsidRPr="00CD728B">
        <w:rPr>
          <w:rFonts w:ascii="Arial Narrow" w:hAnsi="Arial Narrow"/>
          <w:b/>
          <w:color w:val="auto"/>
        </w:rPr>
        <w:t xml:space="preserve"> 147</w:t>
      </w:r>
      <w:bookmarkEnd w:id="62"/>
      <w:r w:rsidRPr="00CD728B">
        <w:rPr>
          <w:rFonts w:ascii="Arial Narrow" w:hAnsi="Arial Narrow"/>
          <w:b/>
          <w:color w:val="auto"/>
        </w:rPr>
        <w:t xml:space="preserve"> </w:t>
      </w:r>
    </w:p>
    <w:p w:rsidR="00A211E8" w:rsidRPr="00CD728B" w:rsidRDefault="00A211E8"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 xml:space="preserve">Por último, en este </w:t>
      </w:r>
      <w:r w:rsidR="009D7771">
        <w:rPr>
          <w:rFonts w:ascii="Arial Narrow" w:hAnsi="Arial Narrow" w:cs="Arial"/>
          <w:sz w:val="24"/>
          <w:szCs w:val="24"/>
        </w:rPr>
        <w:t>Artículo</w:t>
      </w:r>
      <w:r w:rsidRPr="00CD728B">
        <w:rPr>
          <w:rFonts w:ascii="Arial Narrow" w:hAnsi="Arial Narrow" w:cs="Arial"/>
          <w:sz w:val="24"/>
          <w:szCs w:val="24"/>
        </w:rPr>
        <w:t xml:space="preserve"> el Poder Judicial obtuvo un ICP de 100%; debido a que los dos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tuvieron un cumplimiento total.</w:t>
      </w:r>
    </w:p>
    <w:p w:rsidR="00AF69FA" w:rsidRPr="00CD728B" w:rsidRDefault="00AF69FA" w:rsidP="002E7D47">
      <w:pPr>
        <w:contextualSpacing/>
        <w:rPr>
          <w:rFonts w:ascii="Arial Narrow" w:eastAsiaTheme="majorEastAsia" w:hAnsi="Arial Narrow" w:cstheme="majorBidi"/>
          <w:b/>
          <w:sz w:val="24"/>
          <w:szCs w:val="24"/>
        </w:rPr>
      </w:pPr>
      <w:r w:rsidRPr="00CD728B">
        <w:rPr>
          <w:rFonts w:ascii="Arial Narrow" w:hAnsi="Arial Narrow"/>
          <w:b/>
          <w:sz w:val="24"/>
          <w:szCs w:val="24"/>
        </w:rPr>
        <w:br w:type="page"/>
      </w:r>
    </w:p>
    <w:p w:rsidR="00A211E8" w:rsidRPr="00CD728B" w:rsidRDefault="00AF69FA" w:rsidP="002E7D47">
      <w:pPr>
        <w:pStyle w:val="Ttulo1"/>
        <w:numPr>
          <w:ilvl w:val="0"/>
          <w:numId w:val="9"/>
        </w:numPr>
        <w:contextualSpacing/>
        <w:rPr>
          <w:rFonts w:ascii="Arial Narrow" w:hAnsi="Arial Narrow"/>
          <w:b/>
          <w:color w:val="auto"/>
          <w:sz w:val="24"/>
          <w:szCs w:val="24"/>
        </w:rPr>
      </w:pPr>
      <w:bookmarkStart w:id="63" w:name="_Toc14293764"/>
      <w:r w:rsidRPr="00CD728B">
        <w:rPr>
          <w:rFonts w:ascii="Arial Narrow" w:hAnsi="Arial Narrow"/>
          <w:b/>
          <w:color w:val="auto"/>
          <w:sz w:val="24"/>
          <w:szCs w:val="24"/>
        </w:rPr>
        <w:lastRenderedPageBreak/>
        <w:t>ÓRGANOS AUTÓNOMOS</w:t>
      </w:r>
      <w:bookmarkEnd w:id="63"/>
      <w:r w:rsidRPr="00CD728B">
        <w:rPr>
          <w:rFonts w:ascii="Arial Narrow" w:hAnsi="Arial Narrow"/>
          <w:b/>
          <w:color w:val="auto"/>
          <w:sz w:val="24"/>
          <w:szCs w:val="24"/>
        </w:rPr>
        <w:t xml:space="preserve"> </w:t>
      </w:r>
    </w:p>
    <w:p w:rsidR="00A211E8" w:rsidRPr="00CD728B" w:rsidRDefault="00A211E8"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 xml:space="preserve">El ámbito de los Órganos Autónomos, al 31 de diciembre de 2018 estaba conformado por siete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de conformidad con el Padrón. Éstos, así como su </w:t>
      </w:r>
      <w:r w:rsidR="00623A69">
        <w:rPr>
          <w:rFonts w:ascii="Arial Narrow" w:hAnsi="Arial Narrow" w:cs="Arial"/>
          <w:sz w:val="24"/>
          <w:szCs w:val="24"/>
        </w:rPr>
        <w:t>ICOT-PT</w:t>
      </w:r>
      <w:r w:rsidRPr="00CD728B">
        <w:rPr>
          <w:rFonts w:ascii="Arial Narrow" w:hAnsi="Arial Narrow" w:cs="Arial"/>
          <w:sz w:val="24"/>
          <w:szCs w:val="24"/>
        </w:rPr>
        <w:t xml:space="preserve">, el ICOT-PNT y el IGOT se presentan en la siguiente tabla, ordenados de forma descendente, respecto del IGOT: </w:t>
      </w:r>
    </w:p>
    <w:p w:rsidR="008B1EAC" w:rsidRPr="00CD728B" w:rsidRDefault="008B1EAC" w:rsidP="002E7D47">
      <w:pPr>
        <w:spacing w:before="100" w:beforeAutospacing="1" w:after="100" w:afterAutospacing="1" w:line="360" w:lineRule="auto"/>
        <w:contextualSpacing/>
        <w:jc w:val="both"/>
        <w:rPr>
          <w:rFonts w:ascii="Arial Narrow" w:hAnsi="Arial Narrow" w:cs="Arial"/>
          <w:sz w:val="24"/>
          <w:szCs w:val="24"/>
        </w:rPr>
      </w:pPr>
    </w:p>
    <w:tbl>
      <w:tblPr>
        <w:tblStyle w:val="Tablaconcuadrcula"/>
        <w:tblW w:w="0" w:type="auto"/>
        <w:tblLook w:val="04A0" w:firstRow="1" w:lastRow="0" w:firstColumn="1" w:lastColumn="0" w:noHBand="0" w:noVBand="1"/>
      </w:tblPr>
      <w:tblGrid>
        <w:gridCol w:w="5632"/>
        <w:gridCol w:w="824"/>
        <w:gridCol w:w="1059"/>
        <w:gridCol w:w="1313"/>
      </w:tblGrid>
      <w:tr w:rsidR="00A211E8" w:rsidRPr="00CD728B" w:rsidTr="00AF69FA">
        <w:trPr>
          <w:trHeight w:val="255"/>
        </w:trPr>
        <w:tc>
          <w:tcPr>
            <w:tcW w:w="8828" w:type="dxa"/>
            <w:gridSpan w:val="4"/>
            <w:shd w:val="clear" w:color="auto" w:fill="33CCCC"/>
            <w:noWrap/>
            <w:vAlign w:val="center"/>
          </w:tcPr>
          <w:p w:rsidR="00A211E8" w:rsidRPr="00CD728B" w:rsidRDefault="00A211E8" w:rsidP="002E7D47">
            <w:pPr>
              <w:spacing w:before="100" w:beforeAutospacing="1" w:after="100" w:afterAutospacing="1" w:line="360" w:lineRule="auto"/>
              <w:contextualSpacing/>
              <w:jc w:val="center"/>
              <w:rPr>
                <w:rFonts w:ascii="Arial Narrow" w:hAnsi="Arial Narrow" w:cs="Arial"/>
                <w:sz w:val="24"/>
                <w:szCs w:val="24"/>
              </w:rPr>
            </w:pPr>
            <w:r w:rsidRPr="00CD728B">
              <w:rPr>
                <w:rFonts w:ascii="Arial Narrow" w:hAnsi="Arial Narrow" w:cs="Arial"/>
                <w:b/>
                <w:bCs/>
                <w:sz w:val="24"/>
                <w:szCs w:val="24"/>
                <w:lang w:eastAsia="es-MX"/>
              </w:rPr>
              <w:t>Resultados de la Evaluación Vinculante 2019, respecto del ejercicio 2018</w:t>
            </w:r>
          </w:p>
        </w:tc>
      </w:tr>
      <w:tr w:rsidR="00C947BF" w:rsidRPr="00CD728B" w:rsidTr="003577FB">
        <w:trPr>
          <w:trHeight w:val="255"/>
        </w:trPr>
        <w:tc>
          <w:tcPr>
            <w:tcW w:w="5632" w:type="dxa"/>
            <w:shd w:val="clear" w:color="auto" w:fill="33CCCC"/>
            <w:noWrap/>
            <w:vAlign w:val="center"/>
          </w:tcPr>
          <w:p w:rsidR="00A211E8" w:rsidRPr="00CD728B" w:rsidRDefault="00A211E8" w:rsidP="002E7D47">
            <w:pPr>
              <w:spacing w:before="100" w:beforeAutospacing="1" w:after="100" w:afterAutospacing="1" w:line="360" w:lineRule="auto"/>
              <w:contextualSpacing/>
              <w:jc w:val="center"/>
              <w:rPr>
                <w:rFonts w:ascii="Arial Narrow" w:hAnsi="Arial Narrow" w:cs="Arial"/>
                <w:b/>
                <w:bCs/>
                <w:sz w:val="24"/>
                <w:szCs w:val="24"/>
                <w:lang w:eastAsia="es-MX"/>
              </w:rPr>
            </w:pPr>
            <w:r w:rsidRPr="00CD728B">
              <w:rPr>
                <w:rFonts w:ascii="Arial Narrow" w:hAnsi="Arial Narrow" w:cs="Arial"/>
                <w:b/>
                <w:bCs/>
                <w:sz w:val="24"/>
                <w:szCs w:val="24"/>
                <w:lang w:eastAsia="es-MX"/>
              </w:rPr>
              <w:t>Sujeto Obligado</w:t>
            </w:r>
          </w:p>
        </w:tc>
        <w:tc>
          <w:tcPr>
            <w:tcW w:w="824" w:type="dxa"/>
            <w:shd w:val="clear" w:color="auto" w:fill="33CCCC"/>
            <w:noWrap/>
            <w:vAlign w:val="center"/>
          </w:tcPr>
          <w:p w:rsidR="00A211E8" w:rsidRPr="00CD728B" w:rsidRDefault="00A211E8" w:rsidP="002E7D47">
            <w:pPr>
              <w:spacing w:before="100" w:beforeAutospacing="1" w:after="100" w:afterAutospacing="1" w:line="360" w:lineRule="auto"/>
              <w:contextualSpacing/>
              <w:jc w:val="center"/>
              <w:rPr>
                <w:rFonts w:ascii="Arial Narrow" w:hAnsi="Arial Narrow" w:cs="Arial"/>
                <w:b/>
                <w:bCs/>
                <w:sz w:val="24"/>
                <w:szCs w:val="24"/>
                <w:lang w:eastAsia="es-MX"/>
              </w:rPr>
            </w:pPr>
            <w:r w:rsidRPr="00CD728B">
              <w:rPr>
                <w:rFonts w:ascii="Arial Narrow" w:hAnsi="Arial Narrow" w:cs="Arial"/>
                <w:b/>
                <w:bCs/>
                <w:sz w:val="24"/>
                <w:szCs w:val="24"/>
                <w:lang w:eastAsia="es-MX"/>
              </w:rPr>
              <w:t>IGOT</w:t>
            </w:r>
          </w:p>
        </w:tc>
        <w:tc>
          <w:tcPr>
            <w:tcW w:w="1059" w:type="dxa"/>
            <w:shd w:val="clear" w:color="auto" w:fill="33CCCC"/>
            <w:noWrap/>
            <w:vAlign w:val="center"/>
          </w:tcPr>
          <w:p w:rsidR="00A211E8" w:rsidRPr="00CD728B" w:rsidRDefault="00A211E8" w:rsidP="002E7D47">
            <w:pPr>
              <w:spacing w:before="100" w:beforeAutospacing="1" w:after="100" w:afterAutospacing="1" w:line="360" w:lineRule="auto"/>
              <w:contextualSpacing/>
              <w:jc w:val="center"/>
              <w:rPr>
                <w:rFonts w:ascii="Arial Narrow" w:hAnsi="Arial Narrow" w:cs="Arial"/>
                <w:b/>
                <w:bCs/>
                <w:sz w:val="24"/>
                <w:szCs w:val="24"/>
                <w:lang w:eastAsia="es-MX"/>
              </w:rPr>
            </w:pPr>
            <w:r w:rsidRPr="00CD728B">
              <w:rPr>
                <w:rFonts w:ascii="Arial Narrow" w:hAnsi="Arial Narrow" w:cs="Arial"/>
                <w:b/>
                <w:bCs/>
                <w:sz w:val="24"/>
                <w:szCs w:val="24"/>
                <w:lang w:eastAsia="es-MX"/>
              </w:rPr>
              <w:t>ICOT_PT</w:t>
            </w:r>
          </w:p>
        </w:tc>
        <w:tc>
          <w:tcPr>
            <w:tcW w:w="1313" w:type="dxa"/>
            <w:shd w:val="clear" w:color="auto" w:fill="33CCCC"/>
            <w:noWrap/>
            <w:vAlign w:val="center"/>
          </w:tcPr>
          <w:p w:rsidR="00A211E8" w:rsidRPr="00CD728B" w:rsidRDefault="00A211E8" w:rsidP="002E7D47">
            <w:pPr>
              <w:spacing w:before="100" w:beforeAutospacing="1" w:after="100" w:afterAutospacing="1" w:line="360" w:lineRule="auto"/>
              <w:contextualSpacing/>
              <w:jc w:val="center"/>
              <w:rPr>
                <w:rFonts w:ascii="Arial Narrow" w:hAnsi="Arial Narrow" w:cs="Arial"/>
                <w:b/>
                <w:bCs/>
                <w:sz w:val="24"/>
                <w:szCs w:val="24"/>
                <w:lang w:eastAsia="es-MX"/>
              </w:rPr>
            </w:pPr>
            <w:r w:rsidRPr="00CD728B">
              <w:rPr>
                <w:rFonts w:ascii="Arial Narrow" w:hAnsi="Arial Narrow" w:cs="Arial"/>
                <w:b/>
                <w:bCs/>
                <w:sz w:val="24"/>
                <w:szCs w:val="24"/>
                <w:lang w:eastAsia="es-MX"/>
              </w:rPr>
              <w:t>ICOT_PNT</w:t>
            </w:r>
          </w:p>
        </w:tc>
      </w:tr>
      <w:tr w:rsidR="00C947BF" w:rsidRPr="00CD728B" w:rsidTr="006C722A">
        <w:trPr>
          <w:trHeight w:val="255"/>
        </w:trPr>
        <w:tc>
          <w:tcPr>
            <w:tcW w:w="5632" w:type="dxa"/>
            <w:noWrap/>
            <w:vAlign w:val="center"/>
            <w:hideMark/>
          </w:tcPr>
          <w:p w:rsidR="00A211E8" w:rsidRPr="00CD728B" w:rsidRDefault="00A211E8" w:rsidP="002E7D47">
            <w:pPr>
              <w:contextualSpacing/>
              <w:rPr>
                <w:rFonts w:ascii="Arial Narrow" w:hAnsi="Arial Narrow" w:cs="Arial"/>
                <w:sz w:val="24"/>
                <w:szCs w:val="24"/>
              </w:rPr>
            </w:pPr>
            <w:r w:rsidRPr="00CD728B">
              <w:rPr>
                <w:rFonts w:ascii="Arial Narrow" w:hAnsi="Arial Narrow" w:cs="Arial"/>
                <w:sz w:val="24"/>
                <w:szCs w:val="24"/>
              </w:rPr>
              <w:t>Tribunal de Justicia Administrativa de la Ciudad de México</w:t>
            </w:r>
          </w:p>
        </w:tc>
        <w:tc>
          <w:tcPr>
            <w:tcW w:w="824" w:type="dxa"/>
            <w:shd w:val="clear" w:color="auto" w:fill="C9C9C9" w:themeFill="accent3" w:themeFillTint="99"/>
            <w:noWrap/>
            <w:vAlign w:val="center"/>
            <w:hideMark/>
          </w:tcPr>
          <w:p w:rsidR="00A211E8" w:rsidRPr="00CD728B" w:rsidRDefault="00A211E8" w:rsidP="002E7D47">
            <w:pPr>
              <w:contextualSpacing/>
              <w:jc w:val="center"/>
              <w:rPr>
                <w:rFonts w:ascii="Arial Narrow" w:hAnsi="Arial Narrow" w:cs="Arial"/>
                <w:sz w:val="24"/>
                <w:szCs w:val="24"/>
              </w:rPr>
            </w:pPr>
            <w:r w:rsidRPr="00CD728B">
              <w:rPr>
                <w:rFonts w:ascii="Arial Narrow" w:hAnsi="Arial Narrow" w:cs="Arial"/>
                <w:sz w:val="24"/>
                <w:szCs w:val="24"/>
              </w:rPr>
              <w:t>100.00</w:t>
            </w:r>
          </w:p>
        </w:tc>
        <w:tc>
          <w:tcPr>
            <w:tcW w:w="1059" w:type="dxa"/>
            <w:noWrap/>
            <w:vAlign w:val="center"/>
            <w:hideMark/>
          </w:tcPr>
          <w:p w:rsidR="00A211E8" w:rsidRPr="00CD728B" w:rsidRDefault="00A211E8" w:rsidP="002E7D47">
            <w:pPr>
              <w:contextualSpacing/>
              <w:jc w:val="center"/>
              <w:rPr>
                <w:rFonts w:ascii="Arial Narrow" w:hAnsi="Arial Narrow" w:cs="Arial"/>
                <w:sz w:val="24"/>
                <w:szCs w:val="24"/>
              </w:rPr>
            </w:pPr>
            <w:r w:rsidRPr="00CD728B">
              <w:rPr>
                <w:rFonts w:ascii="Arial Narrow" w:hAnsi="Arial Narrow" w:cs="Arial"/>
                <w:sz w:val="24"/>
                <w:szCs w:val="24"/>
              </w:rPr>
              <w:t>100.00</w:t>
            </w:r>
          </w:p>
        </w:tc>
        <w:tc>
          <w:tcPr>
            <w:tcW w:w="1313" w:type="dxa"/>
            <w:noWrap/>
            <w:vAlign w:val="center"/>
            <w:hideMark/>
          </w:tcPr>
          <w:p w:rsidR="00A211E8" w:rsidRPr="00CD728B" w:rsidRDefault="00A211E8" w:rsidP="002E7D47">
            <w:pPr>
              <w:contextualSpacing/>
              <w:jc w:val="center"/>
              <w:rPr>
                <w:rFonts w:ascii="Arial Narrow" w:hAnsi="Arial Narrow" w:cs="Arial"/>
                <w:sz w:val="24"/>
                <w:szCs w:val="24"/>
              </w:rPr>
            </w:pPr>
            <w:r w:rsidRPr="00CD728B">
              <w:rPr>
                <w:rFonts w:ascii="Arial Narrow" w:hAnsi="Arial Narrow" w:cs="Arial"/>
                <w:sz w:val="24"/>
                <w:szCs w:val="24"/>
              </w:rPr>
              <w:t>100.00</w:t>
            </w:r>
          </w:p>
        </w:tc>
      </w:tr>
      <w:tr w:rsidR="00C947BF" w:rsidRPr="00CD728B" w:rsidTr="006C722A">
        <w:trPr>
          <w:trHeight w:val="255"/>
        </w:trPr>
        <w:tc>
          <w:tcPr>
            <w:tcW w:w="5632" w:type="dxa"/>
            <w:noWrap/>
            <w:vAlign w:val="center"/>
            <w:hideMark/>
          </w:tcPr>
          <w:p w:rsidR="00A211E8" w:rsidRPr="00CD728B" w:rsidRDefault="00A211E8" w:rsidP="002E7D47">
            <w:pPr>
              <w:contextualSpacing/>
              <w:rPr>
                <w:rFonts w:ascii="Arial Narrow" w:hAnsi="Arial Narrow" w:cs="Arial"/>
                <w:sz w:val="24"/>
                <w:szCs w:val="24"/>
              </w:rPr>
            </w:pPr>
            <w:r w:rsidRPr="00CD728B">
              <w:rPr>
                <w:rFonts w:ascii="Arial Narrow" w:hAnsi="Arial Narrow" w:cs="Arial"/>
                <w:sz w:val="24"/>
                <w:szCs w:val="24"/>
              </w:rPr>
              <w:t>Instituto Electoral de la Ciudad de México</w:t>
            </w:r>
          </w:p>
        </w:tc>
        <w:tc>
          <w:tcPr>
            <w:tcW w:w="824" w:type="dxa"/>
            <w:shd w:val="clear" w:color="auto" w:fill="C9C9C9" w:themeFill="accent3" w:themeFillTint="99"/>
            <w:noWrap/>
            <w:vAlign w:val="center"/>
            <w:hideMark/>
          </w:tcPr>
          <w:p w:rsidR="00A211E8" w:rsidRPr="00CD728B" w:rsidRDefault="00A211E8" w:rsidP="002E7D47">
            <w:pPr>
              <w:contextualSpacing/>
              <w:jc w:val="center"/>
              <w:rPr>
                <w:rFonts w:ascii="Arial Narrow" w:hAnsi="Arial Narrow" w:cs="Arial"/>
                <w:sz w:val="24"/>
                <w:szCs w:val="24"/>
              </w:rPr>
            </w:pPr>
            <w:r w:rsidRPr="00CD728B">
              <w:rPr>
                <w:rFonts w:ascii="Arial Narrow" w:hAnsi="Arial Narrow" w:cs="Arial"/>
                <w:sz w:val="24"/>
                <w:szCs w:val="24"/>
              </w:rPr>
              <w:t>99.78</w:t>
            </w:r>
          </w:p>
        </w:tc>
        <w:tc>
          <w:tcPr>
            <w:tcW w:w="1059" w:type="dxa"/>
            <w:noWrap/>
            <w:vAlign w:val="center"/>
            <w:hideMark/>
          </w:tcPr>
          <w:p w:rsidR="00A211E8" w:rsidRPr="00CD728B" w:rsidRDefault="00A211E8" w:rsidP="002E7D47">
            <w:pPr>
              <w:contextualSpacing/>
              <w:jc w:val="center"/>
              <w:rPr>
                <w:rFonts w:ascii="Arial Narrow" w:hAnsi="Arial Narrow" w:cs="Arial"/>
                <w:sz w:val="24"/>
                <w:szCs w:val="24"/>
              </w:rPr>
            </w:pPr>
            <w:r w:rsidRPr="00CD728B">
              <w:rPr>
                <w:rFonts w:ascii="Arial Narrow" w:hAnsi="Arial Narrow" w:cs="Arial"/>
                <w:sz w:val="24"/>
                <w:szCs w:val="24"/>
              </w:rPr>
              <w:t>99.77</w:t>
            </w:r>
          </w:p>
        </w:tc>
        <w:tc>
          <w:tcPr>
            <w:tcW w:w="1313" w:type="dxa"/>
            <w:noWrap/>
            <w:vAlign w:val="center"/>
            <w:hideMark/>
          </w:tcPr>
          <w:p w:rsidR="00A211E8" w:rsidRPr="00CD728B" w:rsidRDefault="00A211E8" w:rsidP="002E7D47">
            <w:pPr>
              <w:contextualSpacing/>
              <w:jc w:val="center"/>
              <w:rPr>
                <w:rFonts w:ascii="Arial Narrow" w:hAnsi="Arial Narrow" w:cs="Arial"/>
                <w:sz w:val="24"/>
                <w:szCs w:val="24"/>
              </w:rPr>
            </w:pPr>
            <w:r w:rsidRPr="00CD728B">
              <w:rPr>
                <w:rFonts w:ascii="Arial Narrow" w:hAnsi="Arial Narrow" w:cs="Arial"/>
                <w:sz w:val="24"/>
                <w:szCs w:val="24"/>
              </w:rPr>
              <w:t>99.80</w:t>
            </w:r>
          </w:p>
        </w:tc>
      </w:tr>
      <w:tr w:rsidR="00C947BF" w:rsidRPr="00CD728B" w:rsidTr="006C722A">
        <w:trPr>
          <w:trHeight w:val="255"/>
        </w:trPr>
        <w:tc>
          <w:tcPr>
            <w:tcW w:w="5632" w:type="dxa"/>
            <w:noWrap/>
            <w:vAlign w:val="center"/>
            <w:hideMark/>
          </w:tcPr>
          <w:p w:rsidR="00A211E8" w:rsidRPr="00CD728B" w:rsidRDefault="00A211E8" w:rsidP="002E7D47">
            <w:pPr>
              <w:contextualSpacing/>
              <w:rPr>
                <w:rFonts w:ascii="Arial Narrow" w:hAnsi="Arial Narrow" w:cs="Arial"/>
                <w:sz w:val="24"/>
                <w:szCs w:val="24"/>
              </w:rPr>
            </w:pPr>
            <w:r w:rsidRPr="00CD728B">
              <w:rPr>
                <w:rFonts w:ascii="Arial Narrow" w:hAnsi="Arial Narrow" w:cs="Arial"/>
                <w:sz w:val="24"/>
                <w:szCs w:val="24"/>
              </w:rPr>
              <w:t>Tribunal Electoral de la Ciudad de México</w:t>
            </w:r>
          </w:p>
        </w:tc>
        <w:tc>
          <w:tcPr>
            <w:tcW w:w="824" w:type="dxa"/>
            <w:shd w:val="clear" w:color="auto" w:fill="C9C9C9" w:themeFill="accent3" w:themeFillTint="99"/>
            <w:noWrap/>
            <w:vAlign w:val="center"/>
            <w:hideMark/>
          </w:tcPr>
          <w:p w:rsidR="00A211E8" w:rsidRPr="00CD728B" w:rsidRDefault="00A211E8" w:rsidP="002E7D47">
            <w:pPr>
              <w:contextualSpacing/>
              <w:jc w:val="center"/>
              <w:rPr>
                <w:rFonts w:ascii="Arial Narrow" w:hAnsi="Arial Narrow" w:cs="Arial"/>
                <w:sz w:val="24"/>
                <w:szCs w:val="24"/>
              </w:rPr>
            </w:pPr>
            <w:r w:rsidRPr="00CD728B">
              <w:rPr>
                <w:rFonts w:ascii="Arial Narrow" w:hAnsi="Arial Narrow" w:cs="Arial"/>
                <w:sz w:val="24"/>
                <w:szCs w:val="24"/>
              </w:rPr>
              <w:t>98.30</w:t>
            </w:r>
          </w:p>
        </w:tc>
        <w:tc>
          <w:tcPr>
            <w:tcW w:w="1059" w:type="dxa"/>
            <w:noWrap/>
            <w:vAlign w:val="center"/>
            <w:hideMark/>
          </w:tcPr>
          <w:p w:rsidR="00A211E8" w:rsidRPr="00CD728B" w:rsidRDefault="00A211E8" w:rsidP="002E7D47">
            <w:pPr>
              <w:contextualSpacing/>
              <w:jc w:val="center"/>
              <w:rPr>
                <w:rFonts w:ascii="Arial Narrow" w:hAnsi="Arial Narrow" w:cs="Arial"/>
                <w:sz w:val="24"/>
                <w:szCs w:val="24"/>
              </w:rPr>
            </w:pPr>
            <w:r w:rsidRPr="00CD728B">
              <w:rPr>
                <w:rFonts w:ascii="Arial Narrow" w:hAnsi="Arial Narrow" w:cs="Arial"/>
                <w:sz w:val="24"/>
                <w:szCs w:val="24"/>
              </w:rPr>
              <w:t>97.53</w:t>
            </w:r>
          </w:p>
        </w:tc>
        <w:tc>
          <w:tcPr>
            <w:tcW w:w="1313" w:type="dxa"/>
            <w:noWrap/>
            <w:vAlign w:val="center"/>
            <w:hideMark/>
          </w:tcPr>
          <w:p w:rsidR="00A211E8" w:rsidRPr="00CD728B" w:rsidRDefault="00A211E8" w:rsidP="002E7D47">
            <w:pPr>
              <w:contextualSpacing/>
              <w:jc w:val="center"/>
              <w:rPr>
                <w:rFonts w:ascii="Arial Narrow" w:hAnsi="Arial Narrow" w:cs="Arial"/>
                <w:sz w:val="24"/>
                <w:szCs w:val="24"/>
              </w:rPr>
            </w:pPr>
            <w:r w:rsidRPr="00CD728B">
              <w:rPr>
                <w:rFonts w:ascii="Arial Narrow" w:hAnsi="Arial Narrow" w:cs="Arial"/>
                <w:sz w:val="24"/>
                <w:szCs w:val="24"/>
              </w:rPr>
              <w:t>99.07</w:t>
            </w:r>
          </w:p>
        </w:tc>
      </w:tr>
      <w:tr w:rsidR="00C947BF" w:rsidRPr="00CD728B" w:rsidTr="006C722A">
        <w:trPr>
          <w:trHeight w:val="255"/>
        </w:trPr>
        <w:tc>
          <w:tcPr>
            <w:tcW w:w="5632" w:type="dxa"/>
            <w:noWrap/>
            <w:vAlign w:val="center"/>
            <w:hideMark/>
          </w:tcPr>
          <w:p w:rsidR="00A211E8" w:rsidRPr="00CD728B" w:rsidRDefault="00A211E8" w:rsidP="002E7D47">
            <w:pPr>
              <w:contextualSpacing/>
              <w:rPr>
                <w:rFonts w:ascii="Arial Narrow" w:hAnsi="Arial Narrow" w:cs="Arial"/>
                <w:sz w:val="24"/>
                <w:szCs w:val="24"/>
              </w:rPr>
            </w:pPr>
            <w:r w:rsidRPr="00CD728B">
              <w:rPr>
                <w:rFonts w:ascii="Arial Narrow" w:hAnsi="Arial Narrow" w:cs="Arial"/>
                <w:sz w:val="24"/>
                <w:szCs w:val="24"/>
              </w:rPr>
              <w:t>Comisión de Derechos Humanos del Distrito Federal</w:t>
            </w:r>
          </w:p>
        </w:tc>
        <w:tc>
          <w:tcPr>
            <w:tcW w:w="824" w:type="dxa"/>
            <w:shd w:val="clear" w:color="auto" w:fill="C9C9C9" w:themeFill="accent3" w:themeFillTint="99"/>
            <w:noWrap/>
            <w:vAlign w:val="center"/>
            <w:hideMark/>
          </w:tcPr>
          <w:p w:rsidR="00A211E8" w:rsidRPr="00CD728B" w:rsidRDefault="00A211E8" w:rsidP="002E7D47">
            <w:pPr>
              <w:contextualSpacing/>
              <w:jc w:val="center"/>
              <w:rPr>
                <w:rFonts w:ascii="Arial Narrow" w:hAnsi="Arial Narrow" w:cs="Arial"/>
                <w:sz w:val="24"/>
                <w:szCs w:val="24"/>
              </w:rPr>
            </w:pPr>
            <w:r w:rsidRPr="00CD728B">
              <w:rPr>
                <w:rFonts w:ascii="Arial Narrow" w:hAnsi="Arial Narrow" w:cs="Arial"/>
                <w:sz w:val="24"/>
                <w:szCs w:val="24"/>
              </w:rPr>
              <w:t>95.76</w:t>
            </w:r>
          </w:p>
        </w:tc>
        <w:tc>
          <w:tcPr>
            <w:tcW w:w="1059" w:type="dxa"/>
            <w:noWrap/>
            <w:vAlign w:val="center"/>
            <w:hideMark/>
          </w:tcPr>
          <w:p w:rsidR="00A211E8" w:rsidRPr="00CD728B" w:rsidRDefault="00A211E8" w:rsidP="002E7D47">
            <w:pPr>
              <w:contextualSpacing/>
              <w:jc w:val="center"/>
              <w:rPr>
                <w:rFonts w:ascii="Arial Narrow" w:hAnsi="Arial Narrow" w:cs="Arial"/>
                <w:sz w:val="24"/>
                <w:szCs w:val="24"/>
              </w:rPr>
            </w:pPr>
            <w:r w:rsidRPr="00CD728B">
              <w:rPr>
                <w:rFonts w:ascii="Arial Narrow" w:hAnsi="Arial Narrow" w:cs="Arial"/>
                <w:sz w:val="24"/>
                <w:szCs w:val="24"/>
              </w:rPr>
              <w:t>95.40</w:t>
            </w:r>
          </w:p>
        </w:tc>
        <w:tc>
          <w:tcPr>
            <w:tcW w:w="1313" w:type="dxa"/>
            <w:noWrap/>
            <w:vAlign w:val="center"/>
            <w:hideMark/>
          </w:tcPr>
          <w:p w:rsidR="00A211E8" w:rsidRPr="00CD728B" w:rsidRDefault="00A211E8" w:rsidP="002E7D47">
            <w:pPr>
              <w:contextualSpacing/>
              <w:jc w:val="center"/>
              <w:rPr>
                <w:rFonts w:ascii="Arial Narrow" w:hAnsi="Arial Narrow" w:cs="Arial"/>
                <w:sz w:val="24"/>
                <w:szCs w:val="24"/>
              </w:rPr>
            </w:pPr>
            <w:r w:rsidRPr="00CD728B">
              <w:rPr>
                <w:rFonts w:ascii="Arial Narrow" w:hAnsi="Arial Narrow" w:cs="Arial"/>
                <w:sz w:val="24"/>
                <w:szCs w:val="24"/>
              </w:rPr>
              <w:t>96.12</w:t>
            </w:r>
          </w:p>
        </w:tc>
      </w:tr>
      <w:tr w:rsidR="00C947BF" w:rsidRPr="00CD728B" w:rsidTr="006C722A">
        <w:trPr>
          <w:trHeight w:val="255"/>
        </w:trPr>
        <w:tc>
          <w:tcPr>
            <w:tcW w:w="5632" w:type="dxa"/>
            <w:noWrap/>
            <w:vAlign w:val="center"/>
            <w:hideMark/>
          </w:tcPr>
          <w:p w:rsidR="00A211E8" w:rsidRPr="00CD728B" w:rsidRDefault="00A211E8" w:rsidP="002E7D47">
            <w:pPr>
              <w:contextualSpacing/>
              <w:rPr>
                <w:rFonts w:ascii="Arial Narrow" w:hAnsi="Arial Narrow" w:cs="Arial"/>
                <w:sz w:val="24"/>
                <w:szCs w:val="24"/>
              </w:rPr>
            </w:pPr>
            <w:r w:rsidRPr="00CD728B">
              <w:rPr>
                <w:rFonts w:ascii="Arial Narrow" w:hAnsi="Arial Narrow" w:cs="Arial"/>
                <w:sz w:val="24"/>
                <w:szCs w:val="24"/>
              </w:rPr>
              <w:t>Instituto de Transparencia, Acceso a la Información Pública, Protección de Datos Personales y Rendición de Cuentas de la Ciudad de México</w:t>
            </w:r>
          </w:p>
        </w:tc>
        <w:tc>
          <w:tcPr>
            <w:tcW w:w="824" w:type="dxa"/>
            <w:shd w:val="clear" w:color="auto" w:fill="C9C9C9" w:themeFill="accent3" w:themeFillTint="99"/>
            <w:noWrap/>
            <w:vAlign w:val="center"/>
            <w:hideMark/>
          </w:tcPr>
          <w:p w:rsidR="00A211E8" w:rsidRPr="00CD728B" w:rsidRDefault="00A211E8" w:rsidP="002E7D47">
            <w:pPr>
              <w:contextualSpacing/>
              <w:jc w:val="center"/>
              <w:rPr>
                <w:rFonts w:ascii="Arial Narrow" w:hAnsi="Arial Narrow" w:cs="Arial"/>
                <w:sz w:val="24"/>
                <w:szCs w:val="24"/>
              </w:rPr>
            </w:pPr>
            <w:r w:rsidRPr="00CD728B">
              <w:rPr>
                <w:rFonts w:ascii="Arial Narrow" w:hAnsi="Arial Narrow" w:cs="Arial"/>
                <w:sz w:val="24"/>
                <w:szCs w:val="24"/>
              </w:rPr>
              <w:t>94.41</w:t>
            </w:r>
          </w:p>
        </w:tc>
        <w:tc>
          <w:tcPr>
            <w:tcW w:w="1059" w:type="dxa"/>
            <w:noWrap/>
            <w:vAlign w:val="center"/>
            <w:hideMark/>
          </w:tcPr>
          <w:p w:rsidR="00A211E8" w:rsidRPr="00CD728B" w:rsidRDefault="00A211E8" w:rsidP="002E7D47">
            <w:pPr>
              <w:contextualSpacing/>
              <w:jc w:val="center"/>
              <w:rPr>
                <w:rFonts w:ascii="Arial Narrow" w:hAnsi="Arial Narrow" w:cs="Arial"/>
                <w:sz w:val="24"/>
                <w:szCs w:val="24"/>
              </w:rPr>
            </w:pPr>
            <w:r w:rsidRPr="00CD728B">
              <w:rPr>
                <w:rFonts w:ascii="Arial Narrow" w:hAnsi="Arial Narrow" w:cs="Arial"/>
                <w:sz w:val="24"/>
                <w:szCs w:val="24"/>
              </w:rPr>
              <w:t>95.65</w:t>
            </w:r>
          </w:p>
        </w:tc>
        <w:tc>
          <w:tcPr>
            <w:tcW w:w="1313" w:type="dxa"/>
            <w:noWrap/>
            <w:vAlign w:val="center"/>
            <w:hideMark/>
          </w:tcPr>
          <w:p w:rsidR="00A211E8" w:rsidRPr="00CD728B" w:rsidRDefault="00A211E8" w:rsidP="002E7D47">
            <w:pPr>
              <w:contextualSpacing/>
              <w:jc w:val="center"/>
              <w:rPr>
                <w:rFonts w:ascii="Arial Narrow" w:hAnsi="Arial Narrow" w:cs="Arial"/>
                <w:sz w:val="24"/>
                <w:szCs w:val="24"/>
              </w:rPr>
            </w:pPr>
            <w:r w:rsidRPr="00CD728B">
              <w:rPr>
                <w:rFonts w:ascii="Arial Narrow" w:hAnsi="Arial Narrow" w:cs="Arial"/>
                <w:sz w:val="24"/>
                <w:szCs w:val="24"/>
              </w:rPr>
              <w:t>93.16</w:t>
            </w:r>
          </w:p>
        </w:tc>
      </w:tr>
      <w:tr w:rsidR="00C947BF" w:rsidRPr="00CD728B" w:rsidTr="006C722A">
        <w:trPr>
          <w:trHeight w:val="255"/>
        </w:trPr>
        <w:tc>
          <w:tcPr>
            <w:tcW w:w="5632" w:type="dxa"/>
            <w:noWrap/>
            <w:vAlign w:val="center"/>
            <w:hideMark/>
          </w:tcPr>
          <w:p w:rsidR="00A211E8" w:rsidRPr="00CD728B" w:rsidRDefault="00A211E8" w:rsidP="002E7D47">
            <w:pPr>
              <w:contextualSpacing/>
              <w:rPr>
                <w:rFonts w:ascii="Arial Narrow" w:hAnsi="Arial Narrow" w:cs="Arial"/>
                <w:sz w:val="24"/>
                <w:szCs w:val="24"/>
              </w:rPr>
            </w:pPr>
            <w:r w:rsidRPr="00CD728B">
              <w:rPr>
                <w:rFonts w:ascii="Arial Narrow" w:hAnsi="Arial Narrow" w:cs="Arial"/>
                <w:sz w:val="24"/>
                <w:szCs w:val="24"/>
              </w:rPr>
              <w:t>Junta Local de Conciliación y Arbitraje del Distrito Federal</w:t>
            </w:r>
          </w:p>
        </w:tc>
        <w:tc>
          <w:tcPr>
            <w:tcW w:w="824" w:type="dxa"/>
            <w:shd w:val="clear" w:color="auto" w:fill="C9C9C9" w:themeFill="accent3" w:themeFillTint="99"/>
            <w:noWrap/>
            <w:vAlign w:val="center"/>
            <w:hideMark/>
          </w:tcPr>
          <w:p w:rsidR="00A211E8" w:rsidRPr="00CD728B" w:rsidRDefault="00A211E8" w:rsidP="002E7D47">
            <w:pPr>
              <w:contextualSpacing/>
              <w:jc w:val="center"/>
              <w:rPr>
                <w:rFonts w:ascii="Arial Narrow" w:hAnsi="Arial Narrow" w:cs="Arial"/>
                <w:sz w:val="24"/>
                <w:szCs w:val="24"/>
              </w:rPr>
            </w:pPr>
            <w:r w:rsidRPr="00CD728B">
              <w:rPr>
                <w:rFonts w:ascii="Arial Narrow" w:hAnsi="Arial Narrow" w:cs="Arial"/>
                <w:sz w:val="24"/>
                <w:szCs w:val="24"/>
              </w:rPr>
              <w:t>74.17</w:t>
            </w:r>
          </w:p>
        </w:tc>
        <w:tc>
          <w:tcPr>
            <w:tcW w:w="1059" w:type="dxa"/>
            <w:noWrap/>
            <w:vAlign w:val="center"/>
            <w:hideMark/>
          </w:tcPr>
          <w:p w:rsidR="00A211E8" w:rsidRPr="00CD728B" w:rsidRDefault="00A211E8" w:rsidP="002E7D47">
            <w:pPr>
              <w:contextualSpacing/>
              <w:jc w:val="center"/>
              <w:rPr>
                <w:rFonts w:ascii="Arial Narrow" w:hAnsi="Arial Narrow" w:cs="Arial"/>
                <w:sz w:val="24"/>
                <w:szCs w:val="24"/>
              </w:rPr>
            </w:pPr>
            <w:r w:rsidRPr="00CD728B">
              <w:rPr>
                <w:rFonts w:ascii="Arial Narrow" w:hAnsi="Arial Narrow" w:cs="Arial"/>
                <w:sz w:val="24"/>
                <w:szCs w:val="24"/>
              </w:rPr>
              <w:t>82.09</w:t>
            </w:r>
          </w:p>
        </w:tc>
        <w:tc>
          <w:tcPr>
            <w:tcW w:w="1313" w:type="dxa"/>
            <w:noWrap/>
            <w:vAlign w:val="center"/>
            <w:hideMark/>
          </w:tcPr>
          <w:p w:rsidR="00A211E8" w:rsidRPr="00CD728B" w:rsidRDefault="00A211E8" w:rsidP="002E7D47">
            <w:pPr>
              <w:contextualSpacing/>
              <w:jc w:val="center"/>
              <w:rPr>
                <w:rFonts w:ascii="Arial Narrow" w:hAnsi="Arial Narrow" w:cs="Arial"/>
                <w:sz w:val="24"/>
                <w:szCs w:val="24"/>
              </w:rPr>
            </w:pPr>
            <w:r w:rsidRPr="00CD728B">
              <w:rPr>
                <w:rFonts w:ascii="Arial Narrow" w:hAnsi="Arial Narrow" w:cs="Arial"/>
                <w:sz w:val="24"/>
                <w:szCs w:val="24"/>
              </w:rPr>
              <w:t>66.26</w:t>
            </w:r>
          </w:p>
        </w:tc>
      </w:tr>
      <w:tr w:rsidR="00C947BF" w:rsidRPr="00CD728B" w:rsidTr="006C722A">
        <w:trPr>
          <w:trHeight w:val="255"/>
        </w:trPr>
        <w:tc>
          <w:tcPr>
            <w:tcW w:w="5632" w:type="dxa"/>
            <w:noWrap/>
            <w:vAlign w:val="center"/>
            <w:hideMark/>
          </w:tcPr>
          <w:p w:rsidR="00A211E8" w:rsidRPr="00CD728B" w:rsidRDefault="00A211E8" w:rsidP="002E7D47">
            <w:pPr>
              <w:contextualSpacing/>
              <w:rPr>
                <w:rFonts w:ascii="Arial Narrow" w:hAnsi="Arial Narrow" w:cs="Arial"/>
                <w:sz w:val="24"/>
                <w:szCs w:val="24"/>
              </w:rPr>
            </w:pPr>
            <w:r w:rsidRPr="00CD728B">
              <w:rPr>
                <w:rFonts w:ascii="Arial Narrow" w:hAnsi="Arial Narrow" w:cs="Arial"/>
                <w:sz w:val="24"/>
                <w:szCs w:val="24"/>
              </w:rPr>
              <w:t>Universidad Autónoma de la Ciudad de México</w:t>
            </w:r>
          </w:p>
        </w:tc>
        <w:tc>
          <w:tcPr>
            <w:tcW w:w="824" w:type="dxa"/>
            <w:shd w:val="clear" w:color="auto" w:fill="C9C9C9" w:themeFill="accent3" w:themeFillTint="99"/>
            <w:noWrap/>
            <w:vAlign w:val="center"/>
            <w:hideMark/>
          </w:tcPr>
          <w:p w:rsidR="00A211E8" w:rsidRPr="00CD728B" w:rsidRDefault="00A211E8" w:rsidP="002E7D47">
            <w:pPr>
              <w:contextualSpacing/>
              <w:jc w:val="center"/>
              <w:rPr>
                <w:rFonts w:ascii="Arial Narrow" w:hAnsi="Arial Narrow" w:cs="Arial"/>
                <w:sz w:val="24"/>
                <w:szCs w:val="24"/>
              </w:rPr>
            </w:pPr>
            <w:r w:rsidRPr="00CD728B">
              <w:rPr>
                <w:rFonts w:ascii="Arial Narrow" w:hAnsi="Arial Narrow" w:cs="Arial"/>
                <w:sz w:val="24"/>
                <w:szCs w:val="24"/>
              </w:rPr>
              <w:t>40.64</w:t>
            </w:r>
          </w:p>
        </w:tc>
        <w:tc>
          <w:tcPr>
            <w:tcW w:w="1059" w:type="dxa"/>
            <w:noWrap/>
            <w:vAlign w:val="center"/>
            <w:hideMark/>
          </w:tcPr>
          <w:p w:rsidR="00A211E8" w:rsidRPr="00CD728B" w:rsidRDefault="00A211E8" w:rsidP="002E7D47">
            <w:pPr>
              <w:contextualSpacing/>
              <w:jc w:val="center"/>
              <w:rPr>
                <w:rFonts w:ascii="Arial Narrow" w:hAnsi="Arial Narrow" w:cs="Arial"/>
                <w:sz w:val="24"/>
                <w:szCs w:val="24"/>
              </w:rPr>
            </w:pPr>
            <w:r w:rsidRPr="00CD728B">
              <w:rPr>
                <w:rFonts w:ascii="Arial Narrow" w:hAnsi="Arial Narrow" w:cs="Arial"/>
                <w:sz w:val="24"/>
                <w:szCs w:val="24"/>
              </w:rPr>
              <w:t>61.20</w:t>
            </w:r>
          </w:p>
        </w:tc>
        <w:tc>
          <w:tcPr>
            <w:tcW w:w="1313" w:type="dxa"/>
            <w:noWrap/>
            <w:vAlign w:val="center"/>
            <w:hideMark/>
          </w:tcPr>
          <w:p w:rsidR="00A211E8" w:rsidRPr="00CD728B" w:rsidRDefault="00A211E8" w:rsidP="002E7D47">
            <w:pPr>
              <w:contextualSpacing/>
              <w:jc w:val="center"/>
              <w:rPr>
                <w:rFonts w:ascii="Arial Narrow" w:hAnsi="Arial Narrow" w:cs="Arial"/>
                <w:sz w:val="24"/>
                <w:szCs w:val="24"/>
              </w:rPr>
            </w:pPr>
            <w:r w:rsidRPr="00CD728B">
              <w:rPr>
                <w:rFonts w:ascii="Arial Narrow" w:hAnsi="Arial Narrow" w:cs="Arial"/>
                <w:sz w:val="24"/>
                <w:szCs w:val="24"/>
              </w:rPr>
              <w:t>20.09</w:t>
            </w:r>
          </w:p>
        </w:tc>
      </w:tr>
    </w:tbl>
    <w:p w:rsidR="006C722A" w:rsidRPr="006C722A" w:rsidRDefault="006C722A" w:rsidP="006C722A">
      <w:pPr>
        <w:spacing w:before="100" w:beforeAutospacing="1" w:after="100" w:afterAutospacing="1" w:line="360" w:lineRule="auto"/>
        <w:contextualSpacing/>
        <w:jc w:val="both"/>
        <w:rPr>
          <w:rFonts w:ascii="Arial Narrow" w:hAnsi="Arial Narrow" w:cs="Arial"/>
          <w:sz w:val="20"/>
          <w:szCs w:val="24"/>
        </w:rPr>
      </w:pPr>
      <w:r w:rsidRPr="006C722A">
        <w:rPr>
          <w:rFonts w:ascii="Arial Narrow" w:hAnsi="Arial Narrow" w:cs="Arial"/>
          <w:b/>
          <w:sz w:val="20"/>
          <w:szCs w:val="24"/>
        </w:rPr>
        <w:t>Nota metodológica</w:t>
      </w:r>
      <w:r w:rsidRPr="006C722A">
        <w:rPr>
          <w:rFonts w:ascii="Arial Narrow" w:hAnsi="Arial Narrow" w:cs="Arial"/>
          <w:sz w:val="20"/>
          <w:szCs w:val="24"/>
        </w:rPr>
        <w:t>: El IGOT se</w:t>
      </w:r>
      <w:r w:rsidR="00623A69">
        <w:rPr>
          <w:rFonts w:ascii="Arial Narrow" w:hAnsi="Arial Narrow" w:cs="Arial"/>
          <w:sz w:val="20"/>
          <w:szCs w:val="24"/>
        </w:rPr>
        <w:t xml:space="preserve"> compone del promedio de ICOT-PT</w:t>
      </w:r>
      <w:r w:rsidRPr="006C722A">
        <w:rPr>
          <w:rFonts w:ascii="Arial Narrow" w:hAnsi="Arial Narrow" w:cs="Arial"/>
          <w:sz w:val="20"/>
          <w:szCs w:val="24"/>
        </w:rPr>
        <w:t xml:space="preserve"> e ICOT-PNT.</w:t>
      </w:r>
    </w:p>
    <w:p w:rsidR="00A211E8" w:rsidRPr="00CD728B" w:rsidRDefault="00A211E8" w:rsidP="002E7D47">
      <w:pPr>
        <w:spacing w:before="100" w:beforeAutospacing="1" w:after="100" w:afterAutospacing="1" w:line="360" w:lineRule="auto"/>
        <w:contextualSpacing/>
        <w:jc w:val="both"/>
        <w:rPr>
          <w:rFonts w:ascii="Arial Narrow" w:hAnsi="Arial Narrow" w:cs="Arial"/>
          <w:sz w:val="24"/>
          <w:szCs w:val="24"/>
          <w:shd w:val="clear" w:color="auto" w:fill="FFFF00"/>
        </w:rPr>
      </w:pPr>
      <w:r w:rsidRPr="00CD728B">
        <w:rPr>
          <w:rFonts w:ascii="Arial Narrow" w:hAnsi="Arial Narrow" w:cs="Arial"/>
          <w:sz w:val="24"/>
          <w:szCs w:val="24"/>
        </w:rPr>
        <w:t>En atención a la Tabla de Aplicabilidad realizada por la DEAEE del Inst</w:t>
      </w:r>
      <w:r w:rsidR="003577FB" w:rsidRPr="00CD728B">
        <w:rPr>
          <w:rFonts w:ascii="Arial Narrow" w:hAnsi="Arial Narrow" w:cs="Arial"/>
          <w:sz w:val="24"/>
          <w:szCs w:val="24"/>
        </w:rPr>
        <w:t xml:space="preserve">ituto, las obligaciones que los órganos autónomos </w:t>
      </w:r>
      <w:r w:rsidRPr="00CD728B">
        <w:rPr>
          <w:rFonts w:ascii="Arial Narrow" w:hAnsi="Arial Narrow" w:cs="Arial"/>
          <w:sz w:val="24"/>
          <w:szCs w:val="24"/>
        </w:rPr>
        <w:t xml:space="preserve">deben actualizar y publicar en el SIPOT de la PNT, así como en sus respectivos portales de internet son las contempladas en los siguientes </w:t>
      </w:r>
      <w:r w:rsidR="009D7771">
        <w:rPr>
          <w:rFonts w:ascii="Arial Narrow" w:hAnsi="Arial Narrow" w:cs="Arial"/>
          <w:sz w:val="24"/>
          <w:szCs w:val="24"/>
        </w:rPr>
        <w:t>Artículo</w:t>
      </w:r>
      <w:r w:rsidRPr="00CD728B">
        <w:rPr>
          <w:rFonts w:ascii="Arial Narrow" w:hAnsi="Arial Narrow" w:cs="Arial"/>
          <w:sz w:val="24"/>
          <w:szCs w:val="24"/>
        </w:rPr>
        <w:t xml:space="preserve">s: </w:t>
      </w:r>
    </w:p>
    <w:p w:rsidR="00A211E8" w:rsidRPr="00CD728B" w:rsidRDefault="009D7771" w:rsidP="002E7D47">
      <w:pPr>
        <w:pStyle w:val="Prrafodelista"/>
        <w:numPr>
          <w:ilvl w:val="0"/>
          <w:numId w:val="25"/>
        </w:numPr>
        <w:spacing w:before="100" w:beforeAutospacing="1" w:after="100" w:afterAutospacing="1" w:line="360" w:lineRule="auto"/>
        <w:jc w:val="both"/>
        <w:rPr>
          <w:rFonts w:ascii="Arial Narrow" w:hAnsi="Arial Narrow" w:cs="Arial"/>
          <w:sz w:val="24"/>
          <w:szCs w:val="24"/>
          <w:lang w:val="es-ES_tradnl"/>
        </w:rPr>
      </w:pPr>
      <w:r>
        <w:rPr>
          <w:rFonts w:ascii="Arial Narrow" w:hAnsi="Arial Narrow" w:cs="Arial"/>
          <w:sz w:val="24"/>
          <w:szCs w:val="24"/>
          <w:lang w:val="es-ES_tradnl"/>
        </w:rPr>
        <w:t>Artículo</w:t>
      </w:r>
      <w:r w:rsidR="00A211E8" w:rsidRPr="00CD728B">
        <w:rPr>
          <w:rFonts w:ascii="Arial Narrow" w:hAnsi="Arial Narrow" w:cs="Arial"/>
          <w:sz w:val="24"/>
          <w:szCs w:val="24"/>
          <w:lang w:val="es-ES_tradnl"/>
        </w:rPr>
        <w:t xml:space="preserve"> 121. Obligaciones comunes, </w:t>
      </w:r>
    </w:p>
    <w:p w:rsidR="00A211E8" w:rsidRPr="00CD728B" w:rsidRDefault="009D7771" w:rsidP="002E7D47">
      <w:pPr>
        <w:pStyle w:val="Prrafodelista"/>
        <w:numPr>
          <w:ilvl w:val="0"/>
          <w:numId w:val="25"/>
        </w:numPr>
        <w:spacing w:before="100" w:beforeAutospacing="1" w:after="100" w:afterAutospacing="1" w:line="360" w:lineRule="auto"/>
        <w:jc w:val="both"/>
        <w:rPr>
          <w:rFonts w:ascii="Arial Narrow" w:hAnsi="Arial Narrow" w:cs="Arial"/>
          <w:sz w:val="24"/>
          <w:szCs w:val="24"/>
          <w:lang w:val="es-ES_tradnl"/>
        </w:rPr>
      </w:pPr>
      <w:r>
        <w:rPr>
          <w:rFonts w:ascii="Arial Narrow" w:hAnsi="Arial Narrow" w:cs="Arial"/>
          <w:sz w:val="24"/>
          <w:szCs w:val="24"/>
          <w:lang w:val="es-ES_tradnl"/>
        </w:rPr>
        <w:t>Artículo</w:t>
      </w:r>
      <w:r w:rsidR="00A211E8" w:rsidRPr="00CD728B">
        <w:rPr>
          <w:rFonts w:ascii="Arial Narrow" w:hAnsi="Arial Narrow" w:cs="Arial"/>
          <w:sz w:val="24"/>
          <w:szCs w:val="24"/>
          <w:lang w:val="es-ES_tradnl"/>
        </w:rPr>
        <w:t xml:space="preserve"> 126</w:t>
      </w:r>
      <w:r w:rsidR="003A57A0">
        <w:rPr>
          <w:rFonts w:ascii="Arial Narrow" w:hAnsi="Arial Narrow" w:cs="Arial"/>
          <w:sz w:val="24"/>
          <w:szCs w:val="24"/>
          <w:lang w:val="es-ES_tradnl"/>
        </w:rPr>
        <w:t xml:space="preserve"> apartado primero.</w:t>
      </w:r>
      <w:r w:rsidR="00A211E8" w:rsidRPr="00CD728B">
        <w:rPr>
          <w:rFonts w:ascii="Arial Narrow" w:hAnsi="Arial Narrow" w:cs="Arial"/>
          <w:sz w:val="24"/>
          <w:szCs w:val="24"/>
          <w:lang w:val="es-ES_tradnl"/>
        </w:rPr>
        <w:t xml:space="preserve"> Obligaciones específicas del Poder Judicial, </w:t>
      </w:r>
    </w:p>
    <w:p w:rsidR="00A211E8" w:rsidRPr="00CD728B" w:rsidRDefault="009D7771" w:rsidP="002E7D47">
      <w:pPr>
        <w:pStyle w:val="Prrafodelista"/>
        <w:numPr>
          <w:ilvl w:val="0"/>
          <w:numId w:val="25"/>
        </w:numPr>
        <w:spacing w:before="100" w:beforeAutospacing="1" w:after="100" w:afterAutospacing="1" w:line="360" w:lineRule="auto"/>
        <w:jc w:val="both"/>
        <w:rPr>
          <w:rFonts w:ascii="Arial Narrow" w:hAnsi="Arial Narrow" w:cs="Arial"/>
          <w:sz w:val="24"/>
          <w:szCs w:val="24"/>
          <w:lang w:val="es-ES_tradnl"/>
        </w:rPr>
      </w:pPr>
      <w:r>
        <w:rPr>
          <w:rFonts w:ascii="Arial Narrow" w:hAnsi="Arial Narrow" w:cs="Arial"/>
          <w:sz w:val="24"/>
          <w:szCs w:val="24"/>
          <w:lang w:val="es-ES_tradnl"/>
        </w:rPr>
        <w:t>Artículo</w:t>
      </w:r>
      <w:r w:rsidR="00A211E8" w:rsidRPr="00CD728B">
        <w:rPr>
          <w:rFonts w:ascii="Arial Narrow" w:hAnsi="Arial Narrow" w:cs="Arial"/>
          <w:sz w:val="24"/>
          <w:szCs w:val="24"/>
          <w:lang w:val="es-ES_tradnl"/>
        </w:rPr>
        <w:t xml:space="preserve"> 128</w:t>
      </w:r>
      <w:r w:rsidR="003577FB" w:rsidRPr="00CD728B">
        <w:rPr>
          <w:rFonts w:ascii="Arial Narrow" w:hAnsi="Arial Narrow" w:cs="Arial"/>
          <w:sz w:val="24"/>
          <w:szCs w:val="24"/>
          <w:lang w:val="es-ES_tradnl"/>
        </w:rPr>
        <w:t>.</w:t>
      </w:r>
      <w:r w:rsidR="003A57A0">
        <w:rPr>
          <w:rFonts w:ascii="Arial Narrow" w:hAnsi="Arial Narrow" w:cs="Arial"/>
          <w:sz w:val="24"/>
          <w:szCs w:val="24"/>
          <w:lang w:val="es-ES_tradnl"/>
        </w:rPr>
        <w:t xml:space="preserve"> </w:t>
      </w:r>
      <w:r w:rsidR="00A211E8" w:rsidRPr="00CD728B">
        <w:rPr>
          <w:rFonts w:ascii="Arial Narrow" w:hAnsi="Arial Narrow" w:cs="Arial"/>
          <w:sz w:val="24"/>
          <w:szCs w:val="24"/>
          <w:lang w:val="es-ES_tradnl"/>
        </w:rPr>
        <w:t xml:space="preserve">Obligaciones Específicas de las Autoridades Electorales, </w:t>
      </w:r>
    </w:p>
    <w:p w:rsidR="00A211E8" w:rsidRPr="00CD728B" w:rsidRDefault="009D7771" w:rsidP="002E7D47">
      <w:pPr>
        <w:pStyle w:val="Prrafodelista"/>
        <w:numPr>
          <w:ilvl w:val="0"/>
          <w:numId w:val="25"/>
        </w:numPr>
        <w:spacing w:before="100" w:beforeAutospacing="1" w:after="100" w:afterAutospacing="1" w:line="360" w:lineRule="auto"/>
        <w:jc w:val="both"/>
        <w:rPr>
          <w:rFonts w:ascii="Arial Narrow" w:hAnsi="Arial Narrow" w:cs="Arial"/>
          <w:sz w:val="24"/>
          <w:szCs w:val="24"/>
          <w:lang w:val="es-ES_tradnl"/>
        </w:rPr>
      </w:pPr>
      <w:r>
        <w:rPr>
          <w:rFonts w:ascii="Arial Narrow" w:hAnsi="Arial Narrow" w:cs="Arial"/>
          <w:sz w:val="24"/>
          <w:szCs w:val="24"/>
          <w:lang w:val="es-ES_tradnl"/>
        </w:rPr>
        <w:t>Artículo</w:t>
      </w:r>
      <w:r w:rsidR="00A211E8" w:rsidRPr="00CD728B">
        <w:rPr>
          <w:rFonts w:ascii="Arial Narrow" w:hAnsi="Arial Narrow" w:cs="Arial"/>
          <w:sz w:val="24"/>
          <w:szCs w:val="24"/>
          <w:lang w:val="es-ES_tradnl"/>
        </w:rPr>
        <w:t xml:space="preserve"> 132</w:t>
      </w:r>
      <w:r w:rsidR="003577FB" w:rsidRPr="00CD728B">
        <w:rPr>
          <w:rFonts w:ascii="Arial Narrow" w:hAnsi="Arial Narrow" w:cs="Arial"/>
          <w:sz w:val="24"/>
          <w:szCs w:val="24"/>
          <w:lang w:val="es-ES_tradnl"/>
        </w:rPr>
        <w:t>.</w:t>
      </w:r>
      <w:r w:rsidR="00A211E8" w:rsidRPr="00CD728B">
        <w:rPr>
          <w:rFonts w:ascii="Arial Narrow" w:hAnsi="Arial Narrow" w:cs="Arial"/>
          <w:sz w:val="24"/>
          <w:szCs w:val="24"/>
          <w:lang w:val="es-ES_tradnl"/>
        </w:rPr>
        <w:t xml:space="preserve"> Obligaciones Específicas de la Comisión de Derechos Humanos,</w:t>
      </w:r>
    </w:p>
    <w:p w:rsidR="00A211E8" w:rsidRPr="00CD728B" w:rsidRDefault="009D7771" w:rsidP="002E7D47">
      <w:pPr>
        <w:pStyle w:val="Prrafodelista"/>
        <w:numPr>
          <w:ilvl w:val="0"/>
          <w:numId w:val="25"/>
        </w:numPr>
        <w:spacing w:before="100" w:beforeAutospacing="1" w:after="100" w:afterAutospacing="1" w:line="360" w:lineRule="auto"/>
        <w:jc w:val="both"/>
        <w:rPr>
          <w:rFonts w:ascii="Arial Narrow" w:hAnsi="Arial Narrow" w:cs="Arial"/>
          <w:sz w:val="24"/>
          <w:szCs w:val="24"/>
          <w:lang w:val="es-ES_tradnl"/>
        </w:rPr>
      </w:pPr>
      <w:r>
        <w:rPr>
          <w:rFonts w:ascii="Arial Narrow" w:hAnsi="Arial Narrow" w:cs="Arial"/>
          <w:sz w:val="24"/>
          <w:szCs w:val="24"/>
          <w:lang w:val="es-ES_tradnl"/>
        </w:rPr>
        <w:t>Artículo</w:t>
      </w:r>
      <w:r w:rsidR="003577FB" w:rsidRPr="00CD728B">
        <w:rPr>
          <w:rFonts w:ascii="Arial Narrow" w:hAnsi="Arial Narrow" w:cs="Arial"/>
          <w:sz w:val="24"/>
          <w:szCs w:val="24"/>
          <w:lang w:val="es-ES_tradnl"/>
        </w:rPr>
        <w:t xml:space="preserve"> </w:t>
      </w:r>
      <w:r w:rsidR="00A211E8" w:rsidRPr="00CD728B">
        <w:rPr>
          <w:rFonts w:ascii="Arial Narrow" w:hAnsi="Arial Narrow" w:cs="Arial"/>
          <w:sz w:val="24"/>
          <w:szCs w:val="24"/>
          <w:lang w:val="es-ES_tradnl"/>
        </w:rPr>
        <w:t>133</w:t>
      </w:r>
      <w:r w:rsidR="003577FB" w:rsidRPr="00CD728B">
        <w:rPr>
          <w:rFonts w:ascii="Arial Narrow" w:hAnsi="Arial Narrow" w:cs="Arial"/>
          <w:sz w:val="24"/>
          <w:szCs w:val="24"/>
          <w:lang w:val="es-ES_tradnl"/>
        </w:rPr>
        <w:t xml:space="preserve">. </w:t>
      </w:r>
      <w:r w:rsidR="00A211E8" w:rsidRPr="00CD728B">
        <w:rPr>
          <w:rFonts w:ascii="Arial Narrow" w:hAnsi="Arial Narrow" w:cs="Arial"/>
          <w:sz w:val="24"/>
          <w:szCs w:val="24"/>
          <w:lang w:val="es-ES_tradnl"/>
        </w:rPr>
        <w:t>Obligaciones Específicas del Instituto de Transparencia, Acceso a la Información Pública, Protección de Datos Personales y Rendición de Cuentas de la Ciudad de México,</w:t>
      </w:r>
    </w:p>
    <w:p w:rsidR="00A211E8" w:rsidRPr="00CD728B" w:rsidRDefault="009D7771" w:rsidP="002E7D47">
      <w:pPr>
        <w:pStyle w:val="Prrafodelista"/>
        <w:numPr>
          <w:ilvl w:val="0"/>
          <w:numId w:val="25"/>
        </w:numPr>
        <w:spacing w:before="100" w:beforeAutospacing="1" w:after="100" w:afterAutospacing="1" w:line="360" w:lineRule="auto"/>
        <w:jc w:val="both"/>
        <w:rPr>
          <w:rFonts w:ascii="Arial Narrow" w:hAnsi="Arial Narrow" w:cs="Arial"/>
          <w:sz w:val="24"/>
          <w:szCs w:val="24"/>
          <w:lang w:val="es-ES_tradnl"/>
        </w:rPr>
      </w:pPr>
      <w:r>
        <w:rPr>
          <w:rFonts w:ascii="Arial Narrow" w:hAnsi="Arial Narrow" w:cs="Arial"/>
          <w:sz w:val="24"/>
          <w:szCs w:val="24"/>
          <w:lang w:val="es-ES_tradnl"/>
        </w:rPr>
        <w:t>Artículo</w:t>
      </w:r>
      <w:r w:rsidR="00A211E8" w:rsidRPr="00CD728B">
        <w:rPr>
          <w:rFonts w:ascii="Arial Narrow" w:hAnsi="Arial Narrow" w:cs="Arial"/>
          <w:sz w:val="24"/>
          <w:szCs w:val="24"/>
          <w:lang w:val="es-ES_tradnl"/>
        </w:rPr>
        <w:t xml:space="preserve"> 134</w:t>
      </w:r>
      <w:r w:rsidR="003A57A0">
        <w:rPr>
          <w:rFonts w:ascii="Arial Narrow" w:hAnsi="Arial Narrow" w:cs="Arial"/>
          <w:sz w:val="24"/>
          <w:szCs w:val="24"/>
          <w:lang w:val="es-ES_tradnl"/>
        </w:rPr>
        <w:t xml:space="preserve">. </w:t>
      </w:r>
      <w:r w:rsidR="00A211E8" w:rsidRPr="00CD728B">
        <w:rPr>
          <w:rFonts w:ascii="Arial Narrow" w:hAnsi="Arial Narrow" w:cs="Arial"/>
          <w:sz w:val="24"/>
          <w:szCs w:val="24"/>
          <w:lang w:val="es-ES_tradnl"/>
        </w:rPr>
        <w:t xml:space="preserve">Obligaciones Específicas de la Universidad Autónoma de la Ciudad de México, </w:t>
      </w:r>
    </w:p>
    <w:p w:rsidR="00A211E8" w:rsidRPr="00CD728B" w:rsidRDefault="009D7771" w:rsidP="002E7D47">
      <w:pPr>
        <w:pStyle w:val="Prrafodelista"/>
        <w:numPr>
          <w:ilvl w:val="0"/>
          <w:numId w:val="25"/>
        </w:numPr>
        <w:spacing w:before="100" w:beforeAutospacing="1" w:after="100" w:afterAutospacing="1" w:line="360" w:lineRule="auto"/>
        <w:jc w:val="both"/>
        <w:rPr>
          <w:rFonts w:ascii="Arial Narrow" w:hAnsi="Arial Narrow" w:cs="Arial"/>
          <w:sz w:val="24"/>
          <w:szCs w:val="24"/>
          <w:lang w:val="es-ES_tradnl"/>
        </w:rPr>
      </w:pPr>
      <w:r>
        <w:rPr>
          <w:rFonts w:ascii="Arial Narrow" w:hAnsi="Arial Narrow" w:cs="Arial"/>
          <w:sz w:val="24"/>
          <w:szCs w:val="24"/>
          <w:lang w:val="es-ES_tradnl"/>
        </w:rPr>
        <w:t>Artículo</w:t>
      </w:r>
      <w:r w:rsidR="00A211E8" w:rsidRPr="00CD728B">
        <w:rPr>
          <w:rFonts w:ascii="Arial Narrow" w:hAnsi="Arial Narrow" w:cs="Arial"/>
          <w:sz w:val="24"/>
          <w:szCs w:val="24"/>
          <w:lang w:val="es-ES_tradnl"/>
        </w:rPr>
        <w:t xml:space="preserve"> 137</w:t>
      </w:r>
      <w:r w:rsidR="003577FB" w:rsidRPr="00CD728B">
        <w:rPr>
          <w:rFonts w:ascii="Arial Narrow" w:hAnsi="Arial Narrow" w:cs="Arial"/>
          <w:sz w:val="24"/>
          <w:szCs w:val="24"/>
          <w:lang w:val="es-ES_tradnl"/>
        </w:rPr>
        <w:t>.</w:t>
      </w:r>
      <w:r w:rsidR="00A211E8" w:rsidRPr="00CD728B">
        <w:rPr>
          <w:rFonts w:ascii="Arial Narrow" w:hAnsi="Arial Narrow" w:cs="Arial"/>
          <w:sz w:val="24"/>
          <w:szCs w:val="24"/>
          <w:lang w:val="es-ES_tradnl"/>
        </w:rPr>
        <w:t xml:space="preserve"> Obligaciones de la Junta Local de Conciliación y Arbitraje,</w:t>
      </w:r>
    </w:p>
    <w:p w:rsidR="00A211E8" w:rsidRPr="00CD728B" w:rsidRDefault="009D7771" w:rsidP="002E7D47">
      <w:pPr>
        <w:pStyle w:val="Prrafodelista"/>
        <w:numPr>
          <w:ilvl w:val="0"/>
          <w:numId w:val="25"/>
        </w:numPr>
        <w:spacing w:before="100" w:beforeAutospacing="1" w:after="100" w:afterAutospacing="1" w:line="360" w:lineRule="auto"/>
        <w:jc w:val="both"/>
        <w:rPr>
          <w:rFonts w:ascii="Arial Narrow" w:hAnsi="Arial Narrow" w:cs="Arial"/>
          <w:sz w:val="24"/>
          <w:szCs w:val="24"/>
          <w:lang w:val="es-ES_tradnl"/>
        </w:rPr>
      </w:pPr>
      <w:r>
        <w:rPr>
          <w:rFonts w:ascii="Arial Narrow" w:hAnsi="Arial Narrow" w:cs="Arial"/>
          <w:sz w:val="24"/>
          <w:szCs w:val="24"/>
          <w:lang w:val="es-ES_tradnl"/>
        </w:rPr>
        <w:t>Artículo</w:t>
      </w:r>
      <w:r w:rsidR="00A211E8" w:rsidRPr="00CD728B">
        <w:rPr>
          <w:rFonts w:ascii="Arial Narrow" w:hAnsi="Arial Narrow" w:cs="Arial"/>
          <w:sz w:val="24"/>
          <w:szCs w:val="24"/>
          <w:lang w:val="es-ES_tradnl"/>
        </w:rPr>
        <w:t xml:space="preserve"> 143. Disposiciones Particulares,</w:t>
      </w:r>
    </w:p>
    <w:p w:rsidR="00A211E8" w:rsidRPr="00CD728B" w:rsidRDefault="009D7771" w:rsidP="002E7D47">
      <w:pPr>
        <w:pStyle w:val="Prrafodelista"/>
        <w:numPr>
          <w:ilvl w:val="0"/>
          <w:numId w:val="25"/>
        </w:numPr>
        <w:spacing w:before="100" w:beforeAutospacing="1" w:after="100" w:afterAutospacing="1" w:line="360" w:lineRule="auto"/>
        <w:jc w:val="both"/>
        <w:rPr>
          <w:rFonts w:ascii="Arial Narrow" w:hAnsi="Arial Narrow" w:cs="Arial"/>
          <w:sz w:val="24"/>
          <w:szCs w:val="24"/>
          <w:lang w:val="es-ES_tradnl"/>
        </w:rPr>
      </w:pPr>
      <w:r>
        <w:rPr>
          <w:rFonts w:ascii="Arial Narrow" w:hAnsi="Arial Narrow" w:cs="Arial"/>
          <w:sz w:val="24"/>
          <w:szCs w:val="24"/>
          <w:lang w:val="es-ES_tradnl"/>
        </w:rPr>
        <w:lastRenderedPageBreak/>
        <w:t>Artículo</w:t>
      </w:r>
      <w:r w:rsidR="00A211E8" w:rsidRPr="00CD728B">
        <w:rPr>
          <w:rFonts w:ascii="Arial Narrow" w:hAnsi="Arial Narrow" w:cs="Arial"/>
          <w:sz w:val="24"/>
          <w:szCs w:val="24"/>
          <w:lang w:val="es-ES_tradnl"/>
        </w:rPr>
        <w:t xml:space="preserve"> 145. Disposiciones Particulares,</w:t>
      </w:r>
    </w:p>
    <w:p w:rsidR="00A211E8" w:rsidRPr="00CD728B" w:rsidRDefault="009D7771" w:rsidP="002E7D47">
      <w:pPr>
        <w:pStyle w:val="Prrafodelista"/>
        <w:numPr>
          <w:ilvl w:val="0"/>
          <w:numId w:val="25"/>
        </w:numPr>
        <w:spacing w:before="100" w:beforeAutospacing="1" w:after="100" w:afterAutospacing="1" w:line="360" w:lineRule="auto"/>
        <w:jc w:val="both"/>
        <w:rPr>
          <w:rFonts w:ascii="Arial Narrow" w:hAnsi="Arial Narrow" w:cs="Arial"/>
          <w:sz w:val="24"/>
          <w:szCs w:val="24"/>
          <w:lang w:val="es-ES_tradnl"/>
        </w:rPr>
      </w:pPr>
      <w:r>
        <w:rPr>
          <w:rFonts w:ascii="Arial Narrow" w:hAnsi="Arial Narrow" w:cs="Arial"/>
          <w:sz w:val="24"/>
          <w:szCs w:val="24"/>
          <w:lang w:val="es-ES_tradnl"/>
        </w:rPr>
        <w:t>Artículo</w:t>
      </w:r>
      <w:r w:rsidR="00A211E8" w:rsidRPr="00CD728B">
        <w:rPr>
          <w:rFonts w:ascii="Arial Narrow" w:hAnsi="Arial Narrow" w:cs="Arial"/>
          <w:sz w:val="24"/>
          <w:szCs w:val="24"/>
          <w:lang w:val="es-ES_tradnl"/>
        </w:rPr>
        <w:t xml:space="preserve"> 146. Disposiciones Particulares, y </w:t>
      </w:r>
    </w:p>
    <w:p w:rsidR="00A211E8" w:rsidRPr="00CD728B" w:rsidRDefault="009D7771" w:rsidP="002E7D47">
      <w:pPr>
        <w:pStyle w:val="Prrafodelista"/>
        <w:numPr>
          <w:ilvl w:val="0"/>
          <w:numId w:val="25"/>
        </w:numPr>
        <w:spacing w:before="100" w:beforeAutospacing="1" w:after="100" w:afterAutospacing="1" w:line="360" w:lineRule="auto"/>
        <w:jc w:val="both"/>
        <w:rPr>
          <w:rFonts w:ascii="Arial Narrow" w:hAnsi="Arial Narrow" w:cs="Arial"/>
          <w:sz w:val="24"/>
          <w:szCs w:val="24"/>
          <w:lang w:val="es-ES_tradnl"/>
        </w:rPr>
      </w:pPr>
      <w:r>
        <w:rPr>
          <w:rFonts w:ascii="Arial Narrow" w:hAnsi="Arial Narrow" w:cs="Arial"/>
          <w:sz w:val="24"/>
          <w:szCs w:val="24"/>
          <w:lang w:val="es-ES_tradnl"/>
        </w:rPr>
        <w:t>Artículo</w:t>
      </w:r>
      <w:r w:rsidR="00A211E8" w:rsidRPr="00CD728B">
        <w:rPr>
          <w:rFonts w:ascii="Arial Narrow" w:hAnsi="Arial Narrow" w:cs="Arial"/>
          <w:sz w:val="24"/>
          <w:szCs w:val="24"/>
          <w:lang w:val="es-ES_tradnl"/>
        </w:rPr>
        <w:t xml:space="preserve"> 147. Disposiciones Particulares.</w:t>
      </w:r>
    </w:p>
    <w:p w:rsidR="00A211E8" w:rsidRPr="00CD728B" w:rsidRDefault="00A211E8" w:rsidP="002E7D47">
      <w:pPr>
        <w:pStyle w:val="Ttulo3"/>
        <w:numPr>
          <w:ilvl w:val="1"/>
          <w:numId w:val="26"/>
        </w:numPr>
        <w:contextualSpacing/>
        <w:jc w:val="both"/>
        <w:rPr>
          <w:rFonts w:ascii="Arial Narrow" w:hAnsi="Arial Narrow"/>
          <w:b/>
          <w:color w:val="auto"/>
        </w:rPr>
      </w:pPr>
      <w:bookmarkStart w:id="64" w:name="_Toc14293765"/>
      <w:r w:rsidRPr="00CD728B">
        <w:rPr>
          <w:rFonts w:ascii="Arial Narrow" w:hAnsi="Arial Narrow"/>
          <w:b/>
          <w:color w:val="auto"/>
        </w:rPr>
        <w:t>Análisis global de cumplimiento de los Órganos Autónomos</w:t>
      </w:r>
      <w:bookmarkEnd w:id="64"/>
    </w:p>
    <w:p w:rsidR="008B1EAC" w:rsidRPr="00CD728B" w:rsidRDefault="008B1EAC" w:rsidP="008B1EAC">
      <w:pPr>
        <w:rPr>
          <w:rFonts w:ascii="Arial Narrow" w:hAnsi="Arial Narrow"/>
        </w:rPr>
      </w:pPr>
    </w:p>
    <w:p w:rsidR="00A211E8" w:rsidRPr="00CD728B" w:rsidRDefault="00A211E8" w:rsidP="002E7D47">
      <w:pPr>
        <w:spacing w:before="100" w:beforeAutospacing="1" w:after="100" w:afterAutospacing="1" w:line="360" w:lineRule="auto"/>
        <w:contextualSpacing/>
        <w:jc w:val="both"/>
        <w:rPr>
          <w:rFonts w:ascii="Arial Narrow" w:hAnsi="Arial Narrow" w:cs="Arial"/>
          <w:sz w:val="24"/>
          <w:szCs w:val="24"/>
          <w:u w:val="single"/>
        </w:rPr>
      </w:pPr>
      <w:r w:rsidRPr="00CD728B">
        <w:rPr>
          <w:rFonts w:ascii="Arial Narrow" w:hAnsi="Arial Narrow" w:cs="Arial"/>
          <w:sz w:val="24"/>
          <w:szCs w:val="24"/>
          <w:u w:val="single"/>
        </w:rPr>
        <w:t xml:space="preserve">Índices Globales de Cumplimiento </w:t>
      </w:r>
    </w:p>
    <w:p w:rsidR="008B1EAC" w:rsidRPr="00CD728B" w:rsidRDefault="008B1EAC" w:rsidP="002E7D47">
      <w:pPr>
        <w:spacing w:before="100" w:beforeAutospacing="1" w:after="100" w:afterAutospacing="1" w:line="360" w:lineRule="auto"/>
        <w:contextualSpacing/>
        <w:jc w:val="both"/>
        <w:rPr>
          <w:rFonts w:ascii="Arial Narrow" w:hAnsi="Arial Narrow" w:cs="Arial"/>
          <w:sz w:val="24"/>
          <w:szCs w:val="24"/>
          <w:u w:val="single"/>
        </w:rPr>
      </w:pPr>
    </w:p>
    <w:p w:rsidR="00A211E8" w:rsidRPr="00CD728B" w:rsidRDefault="00A211E8" w:rsidP="002E7D47">
      <w:pPr>
        <w:spacing w:before="100" w:beforeAutospacing="1" w:after="100" w:afterAutospacing="1" w:line="360" w:lineRule="auto"/>
        <w:contextualSpacing/>
        <w:jc w:val="both"/>
        <w:rPr>
          <w:rFonts w:ascii="Arial Narrow" w:hAnsi="Arial Narrow" w:cs="Arial"/>
          <w:sz w:val="24"/>
          <w:szCs w:val="24"/>
          <w:u w:val="single"/>
        </w:rPr>
      </w:pPr>
      <w:r w:rsidRPr="00CD728B">
        <w:rPr>
          <w:rFonts w:ascii="Arial Narrow" w:hAnsi="Arial Narrow"/>
          <w:noProof/>
          <w:sz w:val="24"/>
          <w:szCs w:val="24"/>
          <w:lang w:val="es-MX" w:eastAsia="es-MX"/>
        </w:rPr>
        <w:drawing>
          <wp:inline distT="0" distB="0" distL="0" distR="0" wp14:anchorId="4740EF9E" wp14:editId="213563D5">
            <wp:extent cx="5557962" cy="2743200"/>
            <wp:effectExtent l="0" t="0" r="5080" b="0"/>
            <wp:docPr id="42" name="Gráfico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8B1EAC" w:rsidRPr="00CD728B" w:rsidRDefault="008B1EAC" w:rsidP="002E7D47">
      <w:pPr>
        <w:spacing w:before="100" w:beforeAutospacing="1" w:after="100" w:afterAutospacing="1" w:line="360" w:lineRule="auto"/>
        <w:contextualSpacing/>
        <w:jc w:val="both"/>
        <w:rPr>
          <w:rFonts w:ascii="Arial Narrow" w:hAnsi="Arial Narrow" w:cs="Arial"/>
          <w:sz w:val="24"/>
          <w:szCs w:val="24"/>
        </w:rPr>
      </w:pPr>
    </w:p>
    <w:p w:rsidR="00A211E8" w:rsidRPr="00CD728B" w:rsidRDefault="00A211E8"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Con relación al IGOT, la calificación más alta fue de 100% y las más baja de 40.64%; obteniendo este ámbito una calificación promedio de 86.15%, lo anterior puesto que el Tribunal de Justicia Administrativa cumplió totalmente, cinco</w:t>
      </w:r>
      <w:r w:rsidRPr="00CD728B">
        <w:rPr>
          <w:rStyle w:val="Refdenotaalpie"/>
          <w:rFonts w:ascii="Arial Narrow" w:hAnsi="Arial Narrow" w:cs="Arial"/>
          <w:sz w:val="24"/>
          <w:szCs w:val="24"/>
        </w:rPr>
        <w:footnoteReference w:id="55"/>
      </w:r>
      <w:r w:rsidRPr="00CD728B">
        <w:rPr>
          <w:rFonts w:ascii="Arial Narrow" w:hAnsi="Arial Narrow" w:cs="Arial"/>
          <w:sz w:val="24"/>
          <w:szCs w:val="24"/>
        </w:rPr>
        <w:t xml:space="preserve"> </w:t>
      </w:r>
      <w:r w:rsidR="003577FB" w:rsidRPr="00CD728B">
        <w:rPr>
          <w:rFonts w:ascii="Arial Narrow" w:hAnsi="Arial Narrow" w:cs="Arial"/>
          <w:sz w:val="24"/>
          <w:szCs w:val="24"/>
        </w:rPr>
        <w:t xml:space="preserve">Sujetos Obligados </w:t>
      </w:r>
      <w:r w:rsidRPr="00CD728B">
        <w:rPr>
          <w:rFonts w:ascii="Arial Narrow" w:hAnsi="Arial Narrow" w:cs="Arial"/>
          <w:sz w:val="24"/>
          <w:szCs w:val="24"/>
        </w:rPr>
        <w:t>cumplieron parcialmente obteniendo entre 74.17% y 99.78% y la Universidad Autónoma de la Ciudad de México incumplió parcialmente con 40.64%.</w:t>
      </w:r>
    </w:p>
    <w:p w:rsidR="008B1EAC" w:rsidRPr="00CD728B" w:rsidRDefault="008B1EAC" w:rsidP="002E7D47">
      <w:pPr>
        <w:spacing w:before="100" w:beforeAutospacing="1" w:after="100" w:afterAutospacing="1" w:line="360" w:lineRule="auto"/>
        <w:contextualSpacing/>
        <w:jc w:val="both"/>
        <w:rPr>
          <w:rFonts w:ascii="Arial Narrow" w:hAnsi="Arial Narrow" w:cs="Arial"/>
          <w:sz w:val="24"/>
          <w:szCs w:val="24"/>
        </w:rPr>
      </w:pPr>
    </w:p>
    <w:p w:rsidR="00A211E8" w:rsidRPr="00CD728B" w:rsidRDefault="00A211E8"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 xml:space="preserve">En este ámbito existe un grado de cumplimiento de 86.15% en lo que respecta a la publicación general de la información, 82.07% en la PNT y un 90.23% en los portales institucionales de los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w:t>
      </w:r>
    </w:p>
    <w:p w:rsidR="008B1EAC" w:rsidRPr="00CD728B" w:rsidRDefault="008B1EAC" w:rsidP="002E7D47">
      <w:pPr>
        <w:spacing w:before="100" w:beforeAutospacing="1" w:after="100" w:afterAutospacing="1" w:line="360" w:lineRule="auto"/>
        <w:contextualSpacing/>
        <w:jc w:val="both"/>
        <w:rPr>
          <w:rFonts w:ascii="Arial Narrow" w:hAnsi="Arial Narrow" w:cs="Arial"/>
          <w:sz w:val="24"/>
          <w:szCs w:val="24"/>
        </w:rPr>
      </w:pPr>
    </w:p>
    <w:p w:rsidR="00A211E8" w:rsidRPr="00CD728B" w:rsidRDefault="00A211E8" w:rsidP="002E7D47">
      <w:pPr>
        <w:spacing w:before="100" w:beforeAutospacing="1" w:after="100" w:afterAutospacing="1" w:line="360" w:lineRule="auto"/>
        <w:contextualSpacing/>
        <w:jc w:val="both"/>
        <w:rPr>
          <w:rFonts w:ascii="Arial Narrow" w:hAnsi="Arial Narrow" w:cs="Arial"/>
          <w:sz w:val="24"/>
          <w:szCs w:val="24"/>
          <w:u w:val="single"/>
        </w:rPr>
      </w:pPr>
      <w:r w:rsidRPr="00CD728B">
        <w:rPr>
          <w:rFonts w:ascii="Arial Narrow" w:hAnsi="Arial Narrow" w:cs="Arial"/>
          <w:sz w:val="24"/>
          <w:szCs w:val="24"/>
          <w:u w:val="single"/>
        </w:rPr>
        <w:t xml:space="preserve">Cumplimiento diferenciado por </w:t>
      </w:r>
      <w:r w:rsidR="009D7771">
        <w:rPr>
          <w:rFonts w:ascii="Arial Narrow" w:hAnsi="Arial Narrow" w:cs="Arial"/>
          <w:sz w:val="24"/>
          <w:szCs w:val="24"/>
          <w:u w:val="single"/>
        </w:rPr>
        <w:t>Artículo</w:t>
      </w:r>
      <w:r w:rsidRPr="00CD728B">
        <w:rPr>
          <w:rFonts w:ascii="Arial Narrow" w:hAnsi="Arial Narrow" w:cs="Arial"/>
          <w:sz w:val="24"/>
          <w:szCs w:val="24"/>
          <w:u w:val="single"/>
        </w:rPr>
        <w:t xml:space="preserve">s </w:t>
      </w:r>
    </w:p>
    <w:p w:rsidR="008B1EAC" w:rsidRPr="00CD728B" w:rsidRDefault="008B1EAC" w:rsidP="002E7D47">
      <w:pPr>
        <w:spacing w:before="100" w:beforeAutospacing="1" w:after="100" w:afterAutospacing="1" w:line="360" w:lineRule="auto"/>
        <w:contextualSpacing/>
        <w:jc w:val="both"/>
        <w:rPr>
          <w:rFonts w:ascii="Arial Narrow" w:hAnsi="Arial Narrow" w:cs="Arial"/>
          <w:sz w:val="24"/>
          <w:szCs w:val="24"/>
          <w:u w:val="single"/>
        </w:rPr>
      </w:pPr>
    </w:p>
    <w:p w:rsidR="00A211E8" w:rsidRPr="00CD728B" w:rsidRDefault="00A211E8"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 xml:space="preserve">Con relación al tipo de obligaciones de transparencia, este ámbito ha cumplido parcialmente en la publicación y actualización de sus obligaciones comunes, específicas y disposiciones particulares; obteniendo un promedio de cumplimiento de 86.64%, 79.95% y 92.71% respectivamente. </w:t>
      </w:r>
    </w:p>
    <w:p w:rsidR="008B1EAC" w:rsidRPr="00CD728B" w:rsidRDefault="008B1EAC" w:rsidP="002E7D47">
      <w:pPr>
        <w:spacing w:before="100" w:beforeAutospacing="1" w:after="100" w:afterAutospacing="1" w:line="360" w:lineRule="auto"/>
        <w:contextualSpacing/>
        <w:jc w:val="both"/>
        <w:rPr>
          <w:rFonts w:ascii="Arial Narrow" w:hAnsi="Arial Narrow" w:cs="Arial"/>
          <w:sz w:val="24"/>
          <w:szCs w:val="24"/>
        </w:rPr>
      </w:pPr>
    </w:p>
    <w:p w:rsidR="00A211E8" w:rsidRPr="00CD728B" w:rsidRDefault="00A211E8"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 xml:space="preserve">En esta misma línea, el </w:t>
      </w:r>
      <w:r w:rsidR="009D7771">
        <w:rPr>
          <w:rFonts w:ascii="Arial Narrow" w:hAnsi="Arial Narrow" w:cs="Arial"/>
          <w:sz w:val="24"/>
          <w:szCs w:val="24"/>
        </w:rPr>
        <w:t>Artículo</w:t>
      </w:r>
      <w:r w:rsidRPr="00CD728B">
        <w:rPr>
          <w:rFonts w:ascii="Arial Narrow" w:hAnsi="Arial Narrow" w:cs="Arial"/>
          <w:sz w:val="24"/>
          <w:szCs w:val="24"/>
        </w:rPr>
        <w:t xml:space="preserve"> 145 y 126 tuvieron un ICP de 100%, con cumplimiento total, el 132 de 99.41%, el 128 de </w:t>
      </w:r>
      <w:r w:rsidR="003250DC">
        <w:rPr>
          <w:rFonts w:ascii="Arial Narrow" w:hAnsi="Arial Narrow" w:cs="Arial"/>
          <w:sz w:val="24"/>
          <w:szCs w:val="24"/>
        </w:rPr>
        <w:t>99.04</w:t>
      </w:r>
      <w:r w:rsidRPr="00CD728B">
        <w:rPr>
          <w:rFonts w:ascii="Arial Narrow" w:hAnsi="Arial Narrow" w:cs="Arial"/>
          <w:sz w:val="24"/>
          <w:szCs w:val="24"/>
        </w:rPr>
        <w:t>%, el 143 de 93.19%, el 147 de 88.88%, el 146 de 88.75%, el 121 de 86.04%, y el 133 de 83.26%, ubicándose en un cumplimiento parcial, y por último, el 137 de 48% y el 134 de 31.04%, ubicándose en un incumplimiento parcial.</w:t>
      </w:r>
    </w:p>
    <w:p w:rsidR="008B1EAC" w:rsidRPr="00CD728B" w:rsidRDefault="008B1EAC" w:rsidP="002E7D47">
      <w:pPr>
        <w:spacing w:before="100" w:beforeAutospacing="1" w:after="100" w:afterAutospacing="1" w:line="360" w:lineRule="auto"/>
        <w:contextualSpacing/>
        <w:jc w:val="both"/>
        <w:rPr>
          <w:rFonts w:ascii="Arial Narrow" w:hAnsi="Arial Narrow" w:cs="Arial"/>
          <w:sz w:val="24"/>
          <w:szCs w:val="24"/>
        </w:rPr>
      </w:pPr>
    </w:p>
    <w:p w:rsidR="00A211E8" w:rsidRPr="00CD728B" w:rsidRDefault="00A211E8" w:rsidP="002E7D47">
      <w:pPr>
        <w:pStyle w:val="Ttulo3"/>
        <w:numPr>
          <w:ilvl w:val="1"/>
          <w:numId w:val="26"/>
        </w:numPr>
        <w:contextualSpacing/>
        <w:jc w:val="both"/>
        <w:rPr>
          <w:rFonts w:ascii="Arial Narrow" w:hAnsi="Arial Narrow"/>
          <w:b/>
          <w:color w:val="auto"/>
        </w:rPr>
      </w:pPr>
      <w:bookmarkStart w:id="65" w:name="_Toc14293766"/>
      <w:r w:rsidRPr="00CD728B">
        <w:rPr>
          <w:rFonts w:ascii="Arial Narrow" w:hAnsi="Arial Narrow"/>
          <w:b/>
          <w:color w:val="auto"/>
        </w:rPr>
        <w:t xml:space="preserve">Análisis del </w:t>
      </w:r>
      <w:r w:rsidR="009D7771">
        <w:rPr>
          <w:rFonts w:ascii="Arial Narrow" w:hAnsi="Arial Narrow"/>
          <w:b/>
          <w:color w:val="auto"/>
        </w:rPr>
        <w:t>Artículo</w:t>
      </w:r>
      <w:r w:rsidRPr="00CD728B">
        <w:rPr>
          <w:rFonts w:ascii="Arial Narrow" w:hAnsi="Arial Narrow"/>
          <w:b/>
          <w:color w:val="auto"/>
        </w:rPr>
        <w:t xml:space="preserve"> 121</w:t>
      </w:r>
      <w:bookmarkEnd w:id="65"/>
    </w:p>
    <w:p w:rsidR="008B1EAC" w:rsidRPr="00CD728B" w:rsidRDefault="008B1EAC" w:rsidP="008B1EAC">
      <w:pPr>
        <w:rPr>
          <w:rFonts w:ascii="Arial Narrow" w:hAnsi="Arial Narrow"/>
        </w:rPr>
      </w:pPr>
    </w:p>
    <w:p w:rsidR="00A211E8" w:rsidRPr="00CD728B" w:rsidRDefault="00A211E8" w:rsidP="002E7D47">
      <w:pPr>
        <w:spacing w:before="100" w:beforeAutospacing="1" w:after="100" w:afterAutospacing="1" w:line="360" w:lineRule="auto"/>
        <w:contextualSpacing/>
        <w:jc w:val="both"/>
        <w:rPr>
          <w:rFonts w:ascii="Arial Narrow" w:hAnsi="Arial Narrow" w:cs="Arial"/>
          <w:b/>
          <w:bCs/>
          <w:sz w:val="24"/>
          <w:szCs w:val="24"/>
        </w:rPr>
      </w:pPr>
      <w:r w:rsidRPr="00CD728B">
        <w:rPr>
          <w:rFonts w:ascii="Arial Narrow" w:hAnsi="Arial Narrow"/>
          <w:noProof/>
          <w:sz w:val="24"/>
          <w:szCs w:val="24"/>
          <w:lang w:val="es-MX" w:eastAsia="es-MX"/>
        </w:rPr>
        <w:lastRenderedPageBreak/>
        <w:drawing>
          <wp:inline distT="0" distB="0" distL="0" distR="0" wp14:anchorId="18439748" wp14:editId="740F61C5">
            <wp:extent cx="5613621" cy="2743200"/>
            <wp:effectExtent l="0" t="0" r="6350" b="0"/>
            <wp:docPr id="39" name="Gráfico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A211E8" w:rsidRPr="00CD728B" w:rsidRDefault="00A211E8"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 xml:space="preserve">Los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de los Órganos Autónomos obtuvieron un ICP de 86.04%; por lo que se encuentra dentro del área de cumplimiento parcial. Las cuatro fracciones que tienen mayor área de oportunidad, ya que se colocaron en un cumplimiento parcial entre 79.94% y 82.92%, son las siguientes: </w:t>
      </w:r>
    </w:p>
    <w:p w:rsidR="00A211E8" w:rsidRPr="00CD728B" w:rsidRDefault="00A211E8" w:rsidP="002E7D47">
      <w:pPr>
        <w:pStyle w:val="Prrafodelista"/>
        <w:numPr>
          <w:ilvl w:val="0"/>
          <w:numId w:val="2"/>
        </w:numPr>
        <w:spacing w:before="100" w:beforeAutospacing="1" w:after="100" w:afterAutospacing="1" w:line="360" w:lineRule="auto"/>
        <w:jc w:val="both"/>
        <w:rPr>
          <w:rFonts w:ascii="Arial Narrow" w:hAnsi="Arial Narrow" w:cs="Arial"/>
          <w:sz w:val="24"/>
          <w:szCs w:val="24"/>
          <w:lang w:val="es-ES_tradnl"/>
        </w:rPr>
      </w:pPr>
      <w:r w:rsidRPr="00CD728B">
        <w:rPr>
          <w:rFonts w:ascii="Arial Narrow" w:hAnsi="Arial Narrow" w:cs="Arial"/>
          <w:sz w:val="24"/>
          <w:szCs w:val="24"/>
          <w:lang w:val="es-ES_tradnl"/>
        </w:rPr>
        <w:t xml:space="preserve">Fracción XLIII, con un ICP de 79.94%, respecto de las actas y resoluciones del Comité de Transparencia de los </w:t>
      </w:r>
      <w:r w:rsidR="003C3757" w:rsidRPr="00CD728B">
        <w:rPr>
          <w:rFonts w:ascii="Arial Narrow" w:hAnsi="Arial Narrow" w:cs="Arial"/>
          <w:sz w:val="24"/>
          <w:szCs w:val="24"/>
          <w:lang w:val="es-ES_tradnl"/>
        </w:rPr>
        <w:t>Sujetos Obligados</w:t>
      </w:r>
      <w:r w:rsidRPr="00CD728B">
        <w:rPr>
          <w:rFonts w:ascii="Arial Narrow" w:hAnsi="Arial Narrow" w:cs="Arial"/>
          <w:sz w:val="24"/>
          <w:szCs w:val="24"/>
          <w:lang w:val="es-ES_tradnl"/>
        </w:rPr>
        <w:t>. S</w:t>
      </w:r>
      <w:r w:rsidRPr="00CD728B">
        <w:rPr>
          <w:rFonts w:ascii="Arial Narrow" w:hAnsi="Arial Narrow" w:cs="Arial"/>
          <w:sz w:val="24"/>
          <w:szCs w:val="24"/>
        </w:rPr>
        <w:t>e identificó que no actualizaron la información conforme indica la normatividad vigente y en algunos casos no la publicaron, por lo que deberán fundar y motivar las razones por las cuales no la reportan.</w:t>
      </w:r>
    </w:p>
    <w:p w:rsidR="008B1EAC" w:rsidRPr="00CD728B" w:rsidRDefault="008B1EAC" w:rsidP="008B1EAC">
      <w:pPr>
        <w:pStyle w:val="Prrafodelista"/>
        <w:spacing w:before="100" w:beforeAutospacing="1" w:after="100" w:afterAutospacing="1" w:line="360" w:lineRule="auto"/>
        <w:jc w:val="both"/>
        <w:rPr>
          <w:rFonts w:ascii="Arial Narrow" w:hAnsi="Arial Narrow" w:cs="Arial"/>
          <w:sz w:val="24"/>
          <w:szCs w:val="24"/>
          <w:lang w:val="es-ES_tradnl"/>
        </w:rPr>
      </w:pPr>
    </w:p>
    <w:p w:rsidR="008B1EAC" w:rsidRPr="00CD728B" w:rsidRDefault="00A211E8" w:rsidP="008B1EAC">
      <w:pPr>
        <w:pStyle w:val="Prrafodelista"/>
        <w:numPr>
          <w:ilvl w:val="0"/>
          <w:numId w:val="2"/>
        </w:numPr>
        <w:spacing w:before="100" w:beforeAutospacing="1" w:after="100" w:afterAutospacing="1" w:line="360" w:lineRule="auto"/>
        <w:jc w:val="both"/>
        <w:rPr>
          <w:rFonts w:ascii="Arial Narrow" w:hAnsi="Arial Narrow" w:cs="Arial"/>
          <w:sz w:val="24"/>
          <w:szCs w:val="24"/>
          <w:lang w:val="es-ES_tradnl"/>
        </w:rPr>
      </w:pPr>
      <w:r w:rsidRPr="00CD728B">
        <w:rPr>
          <w:rFonts w:ascii="Arial Narrow" w:hAnsi="Arial Narrow" w:cs="Arial"/>
          <w:sz w:val="24"/>
          <w:szCs w:val="24"/>
          <w:lang w:val="es-ES_tradnl"/>
        </w:rPr>
        <w:t xml:space="preserve">Fracción VIII, con un ICP de 80.65%, en la cual se establece publicar el directorio de todas las personas servidoras públicas, desde el titular hasta el jefe de departamento o su equivalente, o de menor nivel, cuando se brinde la atención al público, manejen o apliquen recursos públicos; realicen actos de autoridad o presten servicios profesionales bajo el régimen de confianza u honorarios y personal de base. En este caso, algunos </w:t>
      </w:r>
      <w:r w:rsidR="003C3757" w:rsidRPr="00CD728B">
        <w:rPr>
          <w:rFonts w:ascii="Arial Narrow" w:hAnsi="Arial Narrow" w:cs="Arial"/>
          <w:sz w:val="24"/>
          <w:szCs w:val="24"/>
          <w:lang w:val="es-ES_tradnl"/>
        </w:rPr>
        <w:t>Sujetos Obligados</w:t>
      </w:r>
      <w:r w:rsidRPr="00CD728B">
        <w:rPr>
          <w:rFonts w:ascii="Arial Narrow" w:hAnsi="Arial Narrow" w:cs="Arial"/>
          <w:sz w:val="24"/>
          <w:szCs w:val="24"/>
          <w:lang w:val="es-ES_tradnl"/>
        </w:rPr>
        <w:t xml:space="preserve"> </w:t>
      </w:r>
      <w:r w:rsidRPr="00CD728B">
        <w:rPr>
          <w:rFonts w:ascii="Arial Narrow" w:hAnsi="Arial Narrow" w:cs="Arial"/>
          <w:sz w:val="24"/>
          <w:szCs w:val="24"/>
        </w:rPr>
        <w:t>no actualizaron la información conforme indica la normatividad vigente</w:t>
      </w:r>
      <w:r w:rsidRPr="00CD728B">
        <w:rPr>
          <w:rFonts w:ascii="Arial Narrow" w:hAnsi="Arial Narrow" w:cs="Arial"/>
          <w:sz w:val="24"/>
          <w:szCs w:val="24"/>
          <w:lang w:val="es-ES_tradnl"/>
        </w:rPr>
        <w:t>.</w:t>
      </w:r>
    </w:p>
    <w:p w:rsidR="008B1EAC" w:rsidRPr="00CD728B" w:rsidRDefault="008B1EAC" w:rsidP="008B1EAC">
      <w:pPr>
        <w:pStyle w:val="Prrafodelista"/>
        <w:spacing w:before="100" w:beforeAutospacing="1" w:after="100" w:afterAutospacing="1" w:line="360" w:lineRule="auto"/>
        <w:jc w:val="both"/>
        <w:rPr>
          <w:rFonts w:ascii="Arial Narrow" w:hAnsi="Arial Narrow" w:cs="Arial"/>
          <w:sz w:val="24"/>
          <w:szCs w:val="24"/>
          <w:lang w:val="es-ES_tradnl"/>
        </w:rPr>
      </w:pPr>
    </w:p>
    <w:p w:rsidR="008B1EAC" w:rsidRPr="00CD728B" w:rsidRDefault="00A211E8" w:rsidP="008B1EAC">
      <w:pPr>
        <w:pStyle w:val="Prrafodelista"/>
        <w:numPr>
          <w:ilvl w:val="0"/>
          <w:numId w:val="2"/>
        </w:numPr>
        <w:spacing w:before="100" w:beforeAutospacing="1" w:after="100" w:afterAutospacing="1" w:line="360" w:lineRule="auto"/>
        <w:jc w:val="both"/>
        <w:rPr>
          <w:rFonts w:ascii="Arial Narrow" w:hAnsi="Arial Narrow" w:cs="Arial"/>
          <w:sz w:val="24"/>
          <w:szCs w:val="24"/>
          <w:lang w:val="es-ES_tradnl"/>
        </w:rPr>
      </w:pPr>
      <w:r w:rsidRPr="00CD728B">
        <w:rPr>
          <w:rFonts w:ascii="Arial Narrow" w:hAnsi="Arial Narrow" w:cs="Arial"/>
          <w:sz w:val="24"/>
          <w:szCs w:val="24"/>
          <w:lang w:val="es-ES_tradnl"/>
        </w:rPr>
        <w:t xml:space="preserve">Fracción XLIX, con un ICP de 82.14%, consistente en el catálogo de disposición y guía de archivo documental. Se identificó que algunos </w:t>
      </w:r>
      <w:r w:rsidR="003C3757" w:rsidRPr="00CD728B">
        <w:rPr>
          <w:rFonts w:ascii="Arial Narrow" w:hAnsi="Arial Narrow" w:cs="Arial"/>
          <w:sz w:val="24"/>
          <w:szCs w:val="24"/>
          <w:lang w:val="es-ES_tradnl"/>
        </w:rPr>
        <w:t>Sujetos Obligados</w:t>
      </w:r>
      <w:r w:rsidRPr="00CD728B">
        <w:rPr>
          <w:rFonts w:ascii="Arial Narrow" w:hAnsi="Arial Narrow" w:cs="Arial"/>
          <w:sz w:val="24"/>
          <w:szCs w:val="24"/>
          <w:lang w:val="es-ES_tradnl"/>
        </w:rPr>
        <w:t xml:space="preserve"> no publicaron la información de acuerdo a la normatividad vigente, por lo que deberán motivar y fundamentar en caso de no haberla generado.</w:t>
      </w:r>
    </w:p>
    <w:p w:rsidR="008B1EAC" w:rsidRPr="00CD728B" w:rsidRDefault="008B1EAC" w:rsidP="008B1EAC">
      <w:pPr>
        <w:pStyle w:val="Prrafodelista"/>
        <w:spacing w:before="100" w:beforeAutospacing="1" w:after="100" w:afterAutospacing="1" w:line="360" w:lineRule="auto"/>
        <w:jc w:val="both"/>
        <w:rPr>
          <w:rFonts w:ascii="Arial Narrow" w:hAnsi="Arial Narrow" w:cs="Arial"/>
          <w:sz w:val="24"/>
          <w:szCs w:val="24"/>
          <w:lang w:val="es-ES_tradnl"/>
        </w:rPr>
      </w:pPr>
    </w:p>
    <w:p w:rsidR="008B1EAC" w:rsidRPr="00CD728B" w:rsidRDefault="00A211E8" w:rsidP="008B1EAC">
      <w:pPr>
        <w:pStyle w:val="Prrafodelista"/>
        <w:numPr>
          <w:ilvl w:val="0"/>
          <w:numId w:val="2"/>
        </w:numPr>
        <w:spacing w:before="100" w:beforeAutospacing="1" w:after="100" w:afterAutospacing="1" w:line="360" w:lineRule="auto"/>
        <w:jc w:val="both"/>
        <w:rPr>
          <w:rFonts w:ascii="Arial Narrow" w:hAnsi="Arial Narrow" w:cs="Arial"/>
          <w:sz w:val="24"/>
          <w:szCs w:val="24"/>
          <w:lang w:val="es-ES_tradnl"/>
        </w:rPr>
      </w:pPr>
      <w:r w:rsidRPr="00CD728B">
        <w:rPr>
          <w:rFonts w:ascii="Arial Narrow" w:hAnsi="Arial Narrow" w:cs="Arial"/>
          <w:sz w:val="24"/>
          <w:szCs w:val="24"/>
          <w:lang w:val="es-ES_tradnl"/>
        </w:rPr>
        <w:t>Fracción XV, con un ICP de 82.92%, respecto de la publicación de las convocatorias o concursos para ocupar cargos públicos y los resultados de los mismos</w:t>
      </w:r>
      <w:r w:rsidRPr="00CD728B">
        <w:rPr>
          <w:rFonts w:ascii="Arial Narrow" w:hAnsi="Arial Narrow" w:cs="Arial"/>
          <w:sz w:val="24"/>
          <w:szCs w:val="24"/>
        </w:rPr>
        <w:t xml:space="preserve">. Se observó que algunos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no actualizaron la información conforme indica la normatividad vigente y en algunos casos no la publican, por lo que deberán fundar y motivar las razones.</w:t>
      </w:r>
    </w:p>
    <w:p w:rsidR="008B1EAC" w:rsidRPr="00CD728B" w:rsidRDefault="008B1EAC" w:rsidP="008B1EAC">
      <w:pPr>
        <w:pStyle w:val="Prrafodelista"/>
        <w:spacing w:before="100" w:beforeAutospacing="1" w:after="100" w:afterAutospacing="1" w:line="360" w:lineRule="auto"/>
        <w:jc w:val="both"/>
        <w:rPr>
          <w:rFonts w:ascii="Arial Narrow" w:hAnsi="Arial Narrow" w:cs="Arial"/>
          <w:sz w:val="24"/>
          <w:szCs w:val="24"/>
          <w:lang w:val="es-ES_tradnl"/>
        </w:rPr>
      </w:pPr>
    </w:p>
    <w:p w:rsidR="00A211E8" w:rsidRPr="00CD728B" w:rsidRDefault="00A211E8"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Por su parte, las dos fracciones con un ICP de 100% son las que se detallan a continuación:</w:t>
      </w:r>
    </w:p>
    <w:p w:rsidR="00A211E8" w:rsidRPr="00CD728B" w:rsidRDefault="00A211E8" w:rsidP="002E7D47">
      <w:pPr>
        <w:pStyle w:val="Prrafodelista"/>
        <w:numPr>
          <w:ilvl w:val="0"/>
          <w:numId w:val="2"/>
        </w:numPr>
        <w:spacing w:before="100" w:beforeAutospacing="1" w:after="100" w:afterAutospacing="1" w:line="360" w:lineRule="auto"/>
        <w:jc w:val="both"/>
        <w:rPr>
          <w:rFonts w:ascii="Arial Narrow" w:hAnsi="Arial Narrow" w:cs="Arial"/>
          <w:sz w:val="24"/>
          <w:szCs w:val="24"/>
          <w:lang w:val="es-ES_tradnl"/>
        </w:rPr>
      </w:pPr>
      <w:r w:rsidRPr="00CD728B">
        <w:rPr>
          <w:rFonts w:ascii="Arial Narrow" w:hAnsi="Arial Narrow" w:cs="Arial"/>
          <w:sz w:val="24"/>
          <w:szCs w:val="24"/>
          <w:lang w:val="es-ES_tradnl"/>
        </w:rPr>
        <w:t xml:space="preserve">Fracción LI, consistente en los listados de solicitudes a las empresas concesionarias de telecomunicaciones y proveedores de servicios o aplicaciones de Internet. </w:t>
      </w:r>
    </w:p>
    <w:p w:rsidR="008B1EAC" w:rsidRPr="00CD728B" w:rsidRDefault="008B1EAC" w:rsidP="008B1EAC">
      <w:pPr>
        <w:pStyle w:val="Prrafodelista"/>
        <w:spacing w:before="100" w:beforeAutospacing="1" w:after="100" w:afterAutospacing="1" w:line="360" w:lineRule="auto"/>
        <w:jc w:val="both"/>
        <w:rPr>
          <w:rFonts w:ascii="Arial Narrow" w:hAnsi="Arial Narrow" w:cs="Arial"/>
          <w:sz w:val="24"/>
          <w:szCs w:val="24"/>
          <w:lang w:val="es-ES_tradnl"/>
        </w:rPr>
      </w:pPr>
    </w:p>
    <w:p w:rsidR="00A211E8" w:rsidRPr="00CD728B" w:rsidRDefault="00A211E8" w:rsidP="002E7D47">
      <w:pPr>
        <w:pStyle w:val="Prrafodelista"/>
        <w:numPr>
          <w:ilvl w:val="0"/>
          <w:numId w:val="3"/>
        </w:numPr>
        <w:spacing w:before="100" w:beforeAutospacing="1" w:after="100" w:afterAutospacing="1" w:line="360" w:lineRule="auto"/>
        <w:jc w:val="both"/>
        <w:rPr>
          <w:rFonts w:ascii="Arial Narrow" w:hAnsi="Arial Narrow" w:cs="Arial"/>
          <w:sz w:val="24"/>
          <w:szCs w:val="24"/>
          <w:lang w:val="es-ES_tradnl"/>
        </w:rPr>
      </w:pPr>
      <w:r w:rsidRPr="00CD728B">
        <w:rPr>
          <w:rFonts w:ascii="Arial Narrow" w:hAnsi="Arial Narrow" w:cs="Arial"/>
          <w:sz w:val="24"/>
          <w:szCs w:val="24"/>
          <w:lang w:val="es-ES_tradnl"/>
        </w:rPr>
        <w:t>Fracción LIV, consistente en la información de las personas beneficiadas, la temporalidad, los montos, y todo aquello relacionado con los incentivos, condonaciones o reducciones fiscales, concesiones, permisos o licencias por virtud de las cuales se usen, gocen, disfruten o exploten bienes públicos.</w:t>
      </w:r>
    </w:p>
    <w:p w:rsidR="008B1EAC" w:rsidRPr="00CD728B" w:rsidRDefault="008B1EAC" w:rsidP="008B1EAC">
      <w:pPr>
        <w:pStyle w:val="Prrafodelista"/>
        <w:spacing w:before="100" w:beforeAutospacing="1" w:after="100" w:afterAutospacing="1" w:line="360" w:lineRule="auto"/>
        <w:jc w:val="both"/>
        <w:rPr>
          <w:rFonts w:ascii="Arial Narrow" w:hAnsi="Arial Narrow" w:cs="Arial"/>
          <w:sz w:val="24"/>
          <w:szCs w:val="24"/>
          <w:lang w:val="es-ES_tradnl"/>
        </w:rPr>
      </w:pPr>
    </w:p>
    <w:p w:rsidR="00A211E8" w:rsidRPr="00CD728B" w:rsidRDefault="00A211E8" w:rsidP="002E7D47">
      <w:pPr>
        <w:pStyle w:val="Ttulo3"/>
        <w:numPr>
          <w:ilvl w:val="1"/>
          <w:numId w:val="26"/>
        </w:numPr>
        <w:contextualSpacing/>
        <w:jc w:val="both"/>
        <w:rPr>
          <w:rFonts w:ascii="Arial Narrow" w:hAnsi="Arial Narrow"/>
          <w:b/>
          <w:color w:val="auto"/>
        </w:rPr>
      </w:pPr>
      <w:bookmarkStart w:id="66" w:name="_Toc14293767"/>
      <w:r w:rsidRPr="00CD728B">
        <w:rPr>
          <w:rFonts w:ascii="Arial Narrow" w:hAnsi="Arial Narrow"/>
          <w:b/>
          <w:color w:val="auto"/>
        </w:rPr>
        <w:t xml:space="preserve">Análisis del </w:t>
      </w:r>
      <w:r w:rsidR="009D7771">
        <w:rPr>
          <w:rFonts w:ascii="Arial Narrow" w:hAnsi="Arial Narrow"/>
          <w:b/>
          <w:color w:val="auto"/>
        </w:rPr>
        <w:t>Artículo</w:t>
      </w:r>
      <w:r w:rsidRPr="00CD728B">
        <w:rPr>
          <w:rFonts w:ascii="Arial Narrow" w:hAnsi="Arial Narrow"/>
          <w:b/>
          <w:color w:val="auto"/>
        </w:rPr>
        <w:t xml:space="preserve"> 126 y sus respectivas fracciones, respecto del Tribunal de lo Contencioso Administrativo de la Ciudad de México</w:t>
      </w:r>
      <w:bookmarkEnd w:id="66"/>
    </w:p>
    <w:p w:rsidR="008A7753" w:rsidRPr="00CD728B" w:rsidRDefault="008A7753" w:rsidP="002E7D47">
      <w:pPr>
        <w:spacing w:before="100" w:beforeAutospacing="1" w:after="100" w:afterAutospacing="1" w:line="360" w:lineRule="auto"/>
        <w:contextualSpacing/>
        <w:jc w:val="both"/>
        <w:rPr>
          <w:rFonts w:ascii="Arial Narrow" w:hAnsi="Arial Narrow" w:cs="Arial"/>
          <w:sz w:val="24"/>
          <w:szCs w:val="24"/>
        </w:rPr>
      </w:pPr>
    </w:p>
    <w:p w:rsidR="00A211E8" w:rsidRPr="00CD728B" w:rsidRDefault="00A211E8"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 xml:space="preserve">El Tribunal de lo Contenciosos Administrativo de la Ciudad de México obtuvo un ICP en este </w:t>
      </w:r>
      <w:r w:rsidR="009D7771">
        <w:rPr>
          <w:rFonts w:ascii="Arial Narrow" w:hAnsi="Arial Narrow" w:cs="Arial"/>
          <w:sz w:val="24"/>
          <w:szCs w:val="24"/>
        </w:rPr>
        <w:t>Artículo</w:t>
      </w:r>
      <w:r w:rsidRPr="00CD728B">
        <w:rPr>
          <w:rFonts w:ascii="Arial Narrow" w:hAnsi="Arial Narrow" w:cs="Arial"/>
          <w:sz w:val="24"/>
          <w:szCs w:val="24"/>
        </w:rPr>
        <w:t xml:space="preserve"> de 100%, encontrándose en un cumplimiento total. </w:t>
      </w:r>
    </w:p>
    <w:p w:rsidR="008A7753" w:rsidRPr="00CD728B" w:rsidRDefault="008A7753" w:rsidP="002E7D47">
      <w:pPr>
        <w:spacing w:before="100" w:beforeAutospacing="1" w:after="100" w:afterAutospacing="1" w:line="360" w:lineRule="auto"/>
        <w:contextualSpacing/>
        <w:jc w:val="both"/>
        <w:rPr>
          <w:rFonts w:ascii="Arial Narrow" w:hAnsi="Arial Narrow" w:cs="Arial"/>
          <w:sz w:val="24"/>
          <w:szCs w:val="24"/>
        </w:rPr>
      </w:pPr>
    </w:p>
    <w:p w:rsidR="00A211E8" w:rsidRPr="00CD728B" w:rsidRDefault="00A211E8" w:rsidP="002E7D47">
      <w:pPr>
        <w:pStyle w:val="Ttulo3"/>
        <w:numPr>
          <w:ilvl w:val="1"/>
          <w:numId w:val="26"/>
        </w:numPr>
        <w:contextualSpacing/>
        <w:jc w:val="both"/>
        <w:rPr>
          <w:rFonts w:ascii="Arial Narrow" w:hAnsi="Arial Narrow"/>
          <w:b/>
          <w:color w:val="auto"/>
        </w:rPr>
      </w:pPr>
      <w:bookmarkStart w:id="67" w:name="_Toc14293768"/>
      <w:r w:rsidRPr="00CD728B">
        <w:rPr>
          <w:rFonts w:ascii="Arial Narrow" w:hAnsi="Arial Narrow"/>
          <w:b/>
          <w:color w:val="auto"/>
        </w:rPr>
        <w:t>Análisis del</w:t>
      </w:r>
      <w:r w:rsidR="002B784C" w:rsidRPr="00CD728B">
        <w:rPr>
          <w:rFonts w:ascii="Arial Narrow" w:hAnsi="Arial Narrow"/>
          <w:b/>
          <w:color w:val="auto"/>
        </w:rPr>
        <w:t xml:space="preserve"> </w:t>
      </w:r>
      <w:r w:rsidR="009D7771">
        <w:rPr>
          <w:rFonts w:ascii="Arial Narrow" w:hAnsi="Arial Narrow"/>
          <w:b/>
          <w:color w:val="auto"/>
        </w:rPr>
        <w:t>Artículo</w:t>
      </w:r>
      <w:r w:rsidR="002B784C" w:rsidRPr="00CD728B">
        <w:rPr>
          <w:rFonts w:ascii="Arial Narrow" w:hAnsi="Arial Narrow"/>
          <w:b/>
          <w:color w:val="auto"/>
        </w:rPr>
        <w:t xml:space="preserve"> 128, respecto de las Autoridades El</w:t>
      </w:r>
      <w:r w:rsidRPr="00CD728B">
        <w:rPr>
          <w:rFonts w:ascii="Arial Narrow" w:hAnsi="Arial Narrow"/>
          <w:b/>
          <w:color w:val="auto"/>
        </w:rPr>
        <w:t>ectorales</w:t>
      </w:r>
      <w:bookmarkEnd w:id="67"/>
    </w:p>
    <w:p w:rsidR="008A7753" w:rsidRPr="00CD728B" w:rsidRDefault="008A7753" w:rsidP="002E7D47">
      <w:pPr>
        <w:spacing w:before="100" w:beforeAutospacing="1" w:after="100" w:afterAutospacing="1" w:line="360" w:lineRule="auto"/>
        <w:contextualSpacing/>
        <w:jc w:val="both"/>
        <w:rPr>
          <w:rFonts w:ascii="Arial Narrow" w:hAnsi="Arial Narrow" w:cs="Arial"/>
          <w:sz w:val="24"/>
          <w:szCs w:val="24"/>
        </w:rPr>
      </w:pPr>
    </w:p>
    <w:p w:rsidR="00A211E8" w:rsidRPr="00CD728B" w:rsidRDefault="00A211E8"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 xml:space="preserve">Con relación a las autoridades electorales se obtuvo un ICP en este </w:t>
      </w:r>
      <w:r w:rsidR="009D7771">
        <w:rPr>
          <w:rFonts w:ascii="Arial Narrow" w:hAnsi="Arial Narrow" w:cs="Arial"/>
          <w:sz w:val="24"/>
          <w:szCs w:val="24"/>
        </w:rPr>
        <w:t>Artículo</w:t>
      </w:r>
      <w:r w:rsidRPr="00CD728B">
        <w:rPr>
          <w:rFonts w:ascii="Arial Narrow" w:hAnsi="Arial Narrow" w:cs="Arial"/>
          <w:sz w:val="24"/>
          <w:szCs w:val="24"/>
        </w:rPr>
        <w:t xml:space="preserve"> de </w:t>
      </w:r>
      <w:r w:rsidR="003250DC">
        <w:rPr>
          <w:rFonts w:ascii="Arial Narrow" w:hAnsi="Arial Narrow" w:cs="Arial"/>
          <w:sz w:val="24"/>
          <w:szCs w:val="24"/>
        </w:rPr>
        <w:t>99.04</w:t>
      </w:r>
      <w:r w:rsidRPr="00CD728B">
        <w:rPr>
          <w:rFonts w:ascii="Arial Narrow" w:hAnsi="Arial Narrow" w:cs="Arial"/>
          <w:sz w:val="24"/>
          <w:szCs w:val="24"/>
        </w:rPr>
        <w:t xml:space="preserve">%, encontrándose en un cumplimiento parcial; el Instituto Electoral de la Cuidad de México alcanzó un ICP de 99.78% y el Tribunal Electoral de la Ciudad de México un ICP de 98.30%. </w:t>
      </w:r>
    </w:p>
    <w:p w:rsidR="00A211E8" w:rsidRPr="00CD728B" w:rsidRDefault="00A211E8"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Las áreas de oportunidad del Instituto Electoral son las siguientes:</w:t>
      </w:r>
    </w:p>
    <w:p w:rsidR="00A211E8" w:rsidRPr="00CD728B" w:rsidRDefault="00A211E8" w:rsidP="002E7D47">
      <w:pPr>
        <w:pStyle w:val="Prrafodelista"/>
        <w:numPr>
          <w:ilvl w:val="0"/>
          <w:numId w:val="13"/>
        </w:numPr>
        <w:spacing w:before="100" w:beforeAutospacing="1" w:after="100" w:afterAutospacing="1" w:line="360" w:lineRule="auto"/>
        <w:jc w:val="both"/>
        <w:rPr>
          <w:rFonts w:ascii="Arial Narrow" w:hAnsi="Arial Narrow" w:cs="Arial"/>
          <w:sz w:val="24"/>
          <w:szCs w:val="24"/>
        </w:rPr>
      </w:pPr>
      <w:r w:rsidRPr="00CD728B">
        <w:rPr>
          <w:rFonts w:ascii="Arial Narrow" w:hAnsi="Arial Narrow" w:cs="Arial"/>
          <w:sz w:val="24"/>
          <w:szCs w:val="24"/>
        </w:rPr>
        <w:t xml:space="preserve">Fracción XVII, </w:t>
      </w:r>
      <w:r w:rsidRPr="00CD728B">
        <w:rPr>
          <w:rFonts w:ascii="Arial Narrow" w:hAnsi="Arial Narrow" w:cs="Arial"/>
          <w:sz w:val="24"/>
          <w:szCs w:val="24"/>
          <w:lang w:val="es-ES_tradnl"/>
        </w:rPr>
        <w:t xml:space="preserve">con un ICP de </w:t>
      </w:r>
      <w:r w:rsidRPr="00CD728B">
        <w:rPr>
          <w:rFonts w:ascii="Arial Narrow" w:hAnsi="Arial Narrow" w:cs="Arial"/>
          <w:sz w:val="24"/>
          <w:szCs w:val="24"/>
        </w:rPr>
        <w:t>99.48%; referente a los informes que presenten los partido</w:t>
      </w:r>
      <w:r w:rsidR="003A57A0">
        <w:rPr>
          <w:rFonts w:ascii="Arial Narrow" w:hAnsi="Arial Narrow" w:cs="Arial"/>
          <w:sz w:val="24"/>
          <w:szCs w:val="24"/>
        </w:rPr>
        <w:t>s</w:t>
      </w:r>
      <w:r w:rsidRPr="00CD728B">
        <w:rPr>
          <w:rFonts w:ascii="Arial Narrow" w:hAnsi="Arial Narrow" w:cs="Arial"/>
          <w:sz w:val="24"/>
          <w:szCs w:val="24"/>
        </w:rPr>
        <w:t xml:space="preserve"> políticos, asociaciones y agrupaciones políticas o de la ciudadanía al concluir el procedimiento de fiscalización respectiva, así como los anexos, comprobantes fiscales y en general los documentos que den soporte a tales informes. En este caso, el </w:t>
      </w:r>
      <w:r w:rsidR="005A4A11" w:rsidRPr="00CD728B">
        <w:rPr>
          <w:rFonts w:ascii="Arial Narrow" w:hAnsi="Arial Narrow" w:cs="Arial"/>
          <w:sz w:val="24"/>
          <w:szCs w:val="24"/>
        </w:rPr>
        <w:t>Sujeto Obligado</w:t>
      </w:r>
      <w:r w:rsidRPr="00CD728B">
        <w:rPr>
          <w:rFonts w:ascii="Arial Narrow" w:hAnsi="Arial Narrow" w:cs="Arial"/>
          <w:sz w:val="24"/>
          <w:szCs w:val="24"/>
        </w:rPr>
        <w:t xml:space="preserve"> deberá homologar la información que publica en la PNT con la que tiene en su portal institucional.</w:t>
      </w:r>
    </w:p>
    <w:p w:rsidR="008A7753" w:rsidRPr="00CD728B" w:rsidRDefault="008A7753" w:rsidP="008A7753">
      <w:pPr>
        <w:pStyle w:val="Prrafodelista"/>
        <w:spacing w:before="100" w:beforeAutospacing="1" w:after="100" w:afterAutospacing="1" w:line="360" w:lineRule="auto"/>
        <w:jc w:val="both"/>
        <w:rPr>
          <w:rFonts w:ascii="Arial Narrow" w:hAnsi="Arial Narrow" w:cs="Arial"/>
          <w:sz w:val="24"/>
          <w:szCs w:val="24"/>
        </w:rPr>
      </w:pPr>
    </w:p>
    <w:p w:rsidR="008A7753" w:rsidRPr="00CD728B" w:rsidRDefault="00A211E8" w:rsidP="008A7753">
      <w:pPr>
        <w:pStyle w:val="Prrafodelista"/>
        <w:numPr>
          <w:ilvl w:val="0"/>
          <w:numId w:val="13"/>
        </w:numPr>
        <w:spacing w:before="100" w:beforeAutospacing="1" w:after="100" w:afterAutospacing="1" w:line="360" w:lineRule="auto"/>
        <w:jc w:val="both"/>
        <w:rPr>
          <w:rFonts w:ascii="Arial Narrow" w:hAnsi="Arial Narrow" w:cs="Arial"/>
          <w:sz w:val="24"/>
          <w:szCs w:val="24"/>
        </w:rPr>
      </w:pPr>
      <w:r w:rsidRPr="00CD728B">
        <w:rPr>
          <w:rFonts w:ascii="Arial Narrow" w:hAnsi="Arial Narrow" w:cs="Arial"/>
          <w:sz w:val="24"/>
          <w:szCs w:val="24"/>
        </w:rPr>
        <w:t xml:space="preserve">Fracción XXIV, con un ICP de 99.48%, referente a los informes que presentan los partidos políticos, asociaciones y agrupaciones políticas o ciudadanía, el </w:t>
      </w:r>
      <w:r w:rsidR="005A4A11" w:rsidRPr="00CD728B">
        <w:rPr>
          <w:rFonts w:ascii="Arial Narrow" w:hAnsi="Arial Narrow" w:cs="Arial"/>
          <w:sz w:val="24"/>
          <w:szCs w:val="24"/>
        </w:rPr>
        <w:t>Sujeto Obligado</w:t>
      </w:r>
      <w:r w:rsidRPr="00CD728B">
        <w:rPr>
          <w:rFonts w:ascii="Arial Narrow" w:hAnsi="Arial Narrow" w:cs="Arial"/>
          <w:sz w:val="24"/>
          <w:szCs w:val="24"/>
        </w:rPr>
        <w:t xml:space="preserve"> deberá, de la misma manera, homologar la información que presenta en la PNT con su portal institucional.</w:t>
      </w:r>
    </w:p>
    <w:p w:rsidR="008A7753" w:rsidRPr="00CD728B" w:rsidRDefault="008A7753" w:rsidP="008A7753">
      <w:pPr>
        <w:pStyle w:val="Prrafodelista"/>
        <w:spacing w:before="100" w:beforeAutospacing="1" w:after="100" w:afterAutospacing="1" w:line="360" w:lineRule="auto"/>
        <w:jc w:val="both"/>
        <w:rPr>
          <w:rFonts w:ascii="Arial Narrow" w:hAnsi="Arial Narrow" w:cs="Arial"/>
          <w:sz w:val="24"/>
          <w:szCs w:val="24"/>
        </w:rPr>
      </w:pPr>
    </w:p>
    <w:p w:rsidR="008A7753" w:rsidRPr="00CD728B" w:rsidRDefault="00A211E8" w:rsidP="008A7753">
      <w:pPr>
        <w:pStyle w:val="Prrafodelista"/>
        <w:numPr>
          <w:ilvl w:val="0"/>
          <w:numId w:val="13"/>
        </w:numPr>
        <w:spacing w:before="100" w:beforeAutospacing="1" w:after="100" w:afterAutospacing="1" w:line="360" w:lineRule="auto"/>
        <w:jc w:val="both"/>
        <w:rPr>
          <w:rFonts w:ascii="Arial Narrow" w:hAnsi="Arial Narrow" w:cs="Arial"/>
          <w:sz w:val="24"/>
          <w:szCs w:val="24"/>
        </w:rPr>
      </w:pPr>
      <w:r w:rsidRPr="00CD728B">
        <w:rPr>
          <w:rFonts w:ascii="Arial Narrow" w:hAnsi="Arial Narrow" w:cs="Arial"/>
          <w:sz w:val="24"/>
          <w:szCs w:val="24"/>
        </w:rPr>
        <w:t>El Tribunal Electoral de la Ciudad de México tiene una vent</w:t>
      </w:r>
      <w:r w:rsidR="008A7753" w:rsidRPr="00CD728B">
        <w:rPr>
          <w:rFonts w:ascii="Arial Narrow" w:hAnsi="Arial Narrow" w:cs="Arial"/>
          <w:sz w:val="24"/>
          <w:szCs w:val="24"/>
        </w:rPr>
        <w:t>an</w:t>
      </w:r>
      <w:r w:rsidRPr="00CD728B">
        <w:rPr>
          <w:rFonts w:ascii="Arial Narrow" w:hAnsi="Arial Narrow" w:cs="Arial"/>
          <w:sz w:val="24"/>
          <w:szCs w:val="24"/>
        </w:rPr>
        <w:t>a de oportunidad respecto de la facción IV, en la cual tuvo un ICP de 95.83% y hace referencia a las Actas y Acuerdo</w:t>
      </w:r>
      <w:r w:rsidR="008A7753" w:rsidRPr="00CD728B">
        <w:rPr>
          <w:rFonts w:ascii="Arial Narrow" w:hAnsi="Arial Narrow" w:cs="Arial"/>
          <w:sz w:val="24"/>
          <w:szCs w:val="24"/>
        </w:rPr>
        <w:t>s</w:t>
      </w:r>
      <w:r w:rsidRPr="00CD728B">
        <w:rPr>
          <w:rFonts w:ascii="Arial Narrow" w:hAnsi="Arial Narrow" w:cs="Arial"/>
          <w:sz w:val="24"/>
          <w:szCs w:val="24"/>
        </w:rPr>
        <w:t xml:space="preserve"> del Pleno. En este caso el </w:t>
      </w:r>
      <w:r w:rsidR="005A4A11" w:rsidRPr="00CD728B">
        <w:rPr>
          <w:rFonts w:ascii="Arial Narrow" w:hAnsi="Arial Narrow" w:cs="Arial"/>
          <w:sz w:val="24"/>
          <w:szCs w:val="24"/>
        </w:rPr>
        <w:t>Sujeto Obligado</w:t>
      </w:r>
      <w:r w:rsidRPr="00CD728B">
        <w:rPr>
          <w:rFonts w:ascii="Arial Narrow" w:hAnsi="Arial Narrow" w:cs="Arial"/>
          <w:sz w:val="24"/>
          <w:szCs w:val="24"/>
        </w:rPr>
        <w:t xml:space="preserve"> deberá fundar y motivar las razones por las cuales no publican información.</w:t>
      </w:r>
    </w:p>
    <w:p w:rsidR="008A7753" w:rsidRPr="00CD728B" w:rsidRDefault="008A7753" w:rsidP="008A7753">
      <w:pPr>
        <w:pStyle w:val="Prrafodelista"/>
        <w:spacing w:before="100" w:beforeAutospacing="1" w:after="100" w:afterAutospacing="1" w:line="360" w:lineRule="auto"/>
        <w:jc w:val="both"/>
        <w:rPr>
          <w:rFonts w:ascii="Arial Narrow" w:hAnsi="Arial Narrow" w:cs="Arial"/>
          <w:sz w:val="24"/>
          <w:szCs w:val="24"/>
        </w:rPr>
      </w:pPr>
    </w:p>
    <w:p w:rsidR="00A211E8" w:rsidRPr="00CD728B" w:rsidRDefault="00A211E8" w:rsidP="002E7D47">
      <w:pPr>
        <w:pStyle w:val="Ttulo3"/>
        <w:numPr>
          <w:ilvl w:val="1"/>
          <w:numId w:val="26"/>
        </w:numPr>
        <w:contextualSpacing/>
        <w:jc w:val="both"/>
        <w:rPr>
          <w:rFonts w:ascii="Arial Narrow" w:hAnsi="Arial Narrow"/>
          <w:b/>
          <w:color w:val="auto"/>
        </w:rPr>
      </w:pPr>
      <w:bookmarkStart w:id="68" w:name="_Toc14293769"/>
      <w:r w:rsidRPr="00CD728B">
        <w:rPr>
          <w:rFonts w:ascii="Arial Narrow" w:hAnsi="Arial Narrow"/>
          <w:b/>
          <w:color w:val="auto"/>
        </w:rPr>
        <w:t xml:space="preserve">Análisis del </w:t>
      </w:r>
      <w:r w:rsidR="009D7771">
        <w:rPr>
          <w:rFonts w:ascii="Arial Narrow" w:hAnsi="Arial Narrow"/>
          <w:b/>
          <w:color w:val="auto"/>
        </w:rPr>
        <w:t>Artículo</w:t>
      </w:r>
      <w:r w:rsidRPr="00CD728B">
        <w:rPr>
          <w:rFonts w:ascii="Arial Narrow" w:hAnsi="Arial Narrow"/>
          <w:b/>
          <w:color w:val="auto"/>
        </w:rPr>
        <w:t xml:space="preserve"> 132, y sus respectivas fracciones, sobre la Comisión de Derechos Humanos</w:t>
      </w:r>
      <w:bookmarkEnd w:id="68"/>
    </w:p>
    <w:p w:rsidR="008A7753" w:rsidRPr="00CD728B" w:rsidRDefault="008A7753" w:rsidP="008A7753">
      <w:pPr>
        <w:rPr>
          <w:rFonts w:ascii="Arial Narrow" w:hAnsi="Arial Narrow"/>
        </w:rPr>
      </w:pPr>
    </w:p>
    <w:p w:rsidR="00A211E8" w:rsidRPr="00CD728B" w:rsidRDefault="00A211E8"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lastRenderedPageBreak/>
        <w:t xml:space="preserve">La Comisión de Derechos Humanos obtuvo un ICP en este </w:t>
      </w:r>
      <w:r w:rsidR="009D7771">
        <w:rPr>
          <w:rFonts w:ascii="Arial Narrow" w:hAnsi="Arial Narrow" w:cs="Arial"/>
          <w:sz w:val="24"/>
          <w:szCs w:val="24"/>
        </w:rPr>
        <w:t>Artículo</w:t>
      </w:r>
      <w:r w:rsidRPr="00CD728B">
        <w:rPr>
          <w:rFonts w:ascii="Arial Narrow" w:hAnsi="Arial Narrow" w:cs="Arial"/>
          <w:sz w:val="24"/>
          <w:szCs w:val="24"/>
        </w:rPr>
        <w:t xml:space="preserve"> de 99.41%; por lo que se encuentra dentro del área de cumplimiento parcial. Las cinco fracciones con mayor área de oportunidad, ya que se colocaron en un cumplimiento parcial entre 92.71% y 96.88%, son las siguientes: </w:t>
      </w:r>
    </w:p>
    <w:p w:rsidR="00A211E8" w:rsidRPr="00CD728B" w:rsidRDefault="00A211E8" w:rsidP="002E7D47">
      <w:pPr>
        <w:pStyle w:val="Prrafodelista"/>
        <w:numPr>
          <w:ilvl w:val="0"/>
          <w:numId w:val="2"/>
        </w:numPr>
        <w:spacing w:before="100" w:beforeAutospacing="1" w:after="100" w:afterAutospacing="1" w:line="360" w:lineRule="auto"/>
        <w:jc w:val="both"/>
        <w:rPr>
          <w:rFonts w:ascii="Arial Narrow" w:hAnsi="Arial Narrow" w:cs="Arial"/>
          <w:sz w:val="24"/>
          <w:szCs w:val="24"/>
          <w:lang w:val="es-ES_tradnl"/>
        </w:rPr>
      </w:pPr>
      <w:r w:rsidRPr="00CD728B">
        <w:rPr>
          <w:rFonts w:ascii="Arial Narrow" w:hAnsi="Arial Narrow" w:cs="Arial"/>
          <w:sz w:val="24"/>
          <w:szCs w:val="24"/>
          <w:lang w:val="es-ES_tradnl"/>
        </w:rPr>
        <w:t>Fracción V, con un ICP de 92.71%, respecto del listado de medidas precautorias, cautelares o equivalentes giradas, una vez concluido el expediente. En ésta, deberá actualizar la información conforme a la normatividad correspondiente.</w:t>
      </w:r>
    </w:p>
    <w:p w:rsidR="008A7753" w:rsidRPr="00CD728B" w:rsidRDefault="008A7753" w:rsidP="008A7753">
      <w:pPr>
        <w:pStyle w:val="Prrafodelista"/>
        <w:spacing w:before="100" w:beforeAutospacing="1" w:after="100" w:afterAutospacing="1" w:line="360" w:lineRule="auto"/>
        <w:jc w:val="both"/>
        <w:rPr>
          <w:rFonts w:ascii="Arial Narrow" w:hAnsi="Arial Narrow" w:cs="Arial"/>
          <w:sz w:val="24"/>
          <w:szCs w:val="24"/>
          <w:lang w:val="es-ES_tradnl"/>
        </w:rPr>
      </w:pPr>
    </w:p>
    <w:p w:rsidR="003A57A0" w:rsidRPr="003A57A0" w:rsidRDefault="00A211E8" w:rsidP="003A57A0">
      <w:pPr>
        <w:pStyle w:val="Prrafodelista"/>
        <w:numPr>
          <w:ilvl w:val="0"/>
          <w:numId w:val="2"/>
        </w:numPr>
        <w:spacing w:before="100" w:beforeAutospacing="1" w:after="100" w:afterAutospacing="1" w:line="360" w:lineRule="auto"/>
        <w:jc w:val="both"/>
        <w:rPr>
          <w:rFonts w:ascii="Arial Narrow" w:hAnsi="Arial Narrow" w:cs="Arial"/>
          <w:sz w:val="24"/>
          <w:szCs w:val="24"/>
          <w:lang w:val="es-ES_tradnl"/>
        </w:rPr>
      </w:pPr>
      <w:r w:rsidRPr="00CD728B">
        <w:rPr>
          <w:rFonts w:ascii="Arial Narrow" w:hAnsi="Arial Narrow" w:cs="Arial"/>
          <w:sz w:val="24"/>
          <w:szCs w:val="24"/>
          <w:lang w:val="es-ES_tradnl"/>
        </w:rPr>
        <w:t xml:space="preserve">Fracción XIII, con un ICP de 95.14%, que establece la publicación de los programas y las acciones de coordinación con las dependencias competentes para impulsar el cumplimiento de Tratados a los que el Estado Mexicano pertenece en materia de derechos humanos. En este caso, se observó que no registraron correctamente la información en algunos de los criterios que solicita el formato de carga. </w:t>
      </w:r>
    </w:p>
    <w:p w:rsidR="003A57A0" w:rsidRPr="00CD728B" w:rsidRDefault="003A57A0" w:rsidP="003A57A0">
      <w:pPr>
        <w:pStyle w:val="Prrafodelista"/>
        <w:spacing w:before="100" w:beforeAutospacing="1" w:after="100" w:afterAutospacing="1" w:line="360" w:lineRule="auto"/>
        <w:jc w:val="both"/>
        <w:rPr>
          <w:rFonts w:ascii="Arial Narrow" w:hAnsi="Arial Narrow" w:cs="Arial"/>
          <w:sz w:val="24"/>
          <w:szCs w:val="24"/>
          <w:lang w:val="es-ES_tradnl"/>
        </w:rPr>
      </w:pPr>
    </w:p>
    <w:p w:rsidR="00A211E8" w:rsidRPr="00CD728B" w:rsidRDefault="00A211E8" w:rsidP="002E7D47">
      <w:pPr>
        <w:pStyle w:val="Prrafodelista"/>
        <w:numPr>
          <w:ilvl w:val="0"/>
          <w:numId w:val="2"/>
        </w:numPr>
        <w:spacing w:before="100" w:beforeAutospacing="1" w:after="100" w:afterAutospacing="1" w:line="360" w:lineRule="auto"/>
        <w:jc w:val="both"/>
        <w:rPr>
          <w:rFonts w:ascii="Arial Narrow" w:hAnsi="Arial Narrow" w:cs="Arial"/>
          <w:sz w:val="24"/>
          <w:szCs w:val="24"/>
          <w:lang w:val="es-ES_tradnl"/>
        </w:rPr>
      </w:pPr>
      <w:r w:rsidRPr="00CD728B">
        <w:rPr>
          <w:rFonts w:ascii="Arial Narrow" w:hAnsi="Arial Narrow" w:cs="Arial"/>
          <w:sz w:val="24"/>
          <w:szCs w:val="24"/>
          <w:lang w:val="es-ES_tradnl"/>
        </w:rPr>
        <w:t xml:space="preserve">Fracción IV, con un ICP de 95.83%, consistente en publicar las versiones públicas del acuerdo de conciliación, previo consentimiento del quejoso. El </w:t>
      </w:r>
      <w:r w:rsidR="005A4A11" w:rsidRPr="00CD728B">
        <w:rPr>
          <w:rFonts w:ascii="Arial Narrow" w:hAnsi="Arial Narrow" w:cs="Arial"/>
          <w:sz w:val="24"/>
          <w:szCs w:val="24"/>
          <w:lang w:val="es-ES_tradnl"/>
        </w:rPr>
        <w:t>Sujeto Obligado</w:t>
      </w:r>
      <w:r w:rsidRPr="00CD728B">
        <w:rPr>
          <w:rFonts w:ascii="Arial Narrow" w:hAnsi="Arial Narrow" w:cs="Arial"/>
          <w:sz w:val="24"/>
          <w:szCs w:val="24"/>
          <w:lang w:val="es-ES_tradnl"/>
        </w:rPr>
        <w:t xml:space="preserve"> deberá actualizar la información conforme a la normatividad correspondiente.</w:t>
      </w:r>
    </w:p>
    <w:p w:rsidR="008A7753" w:rsidRPr="00CD728B" w:rsidRDefault="008A7753" w:rsidP="008A7753">
      <w:pPr>
        <w:pStyle w:val="Prrafodelista"/>
        <w:spacing w:before="100" w:beforeAutospacing="1" w:after="100" w:afterAutospacing="1" w:line="360" w:lineRule="auto"/>
        <w:jc w:val="both"/>
        <w:rPr>
          <w:rFonts w:ascii="Arial Narrow" w:hAnsi="Arial Narrow" w:cs="Arial"/>
          <w:sz w:val="24"/>
          <w:szCs w:val="24"/>
          <w:lang w:val="es-ES_tradnl"/>
        </w:rPr>
      </w:pPr>
    </w:p>
    <w:p w:rsidR="008A7753" w:rsidRPr="00CD728B" w:rsidRDefault="00A211E8" w:rsidP="008A7753">
      <w:pPr>
        <w:pStyle w:val="Prrafodelista"/>
        <w:numPr>
          <w:ilvl w:val="0"/>
          <w:numId w:val="2"/>
        </w:numPr>
        <w:spacing w:before="100" w:beforeAutospacing="1" w:after="100" w:afterAutospacing="1" w:line="360" w:lineRule="auto"/>
        <w:jc w:val="both"/>
        <w:rPr>
          <w:rFonts w:ascii="Arial Narrow" w:hAnsi="Arial Narrow" w:cs="Arial"/>
          <w:sz w:val="24"/>
          <w:szCs w:val="24"/>
          <w:lang w:val="es-ES_tradnl"/>
        </w:rPr>
      </w:pPr>
      <w:r w:rsidRPr="00CD728B">
        <w:rPr>
          <w:rFonts w:ascii="Arial Narrow" w:hAnsi="Arial Narrow" w:cs="Arial"/>
          <w:sz w:val="24"/>
          <w:szCs w:val="24"/>
          <w:lang w:val="es-ES_tradnl"/>
        </w:rPr>
        <w:t>Fracción VIII, con un ICP de 96.88%,</w:t>
      </w:r>
      <w:r w:rsidR="00273629">
        <w:rPr>
          <w:rFonts w:ascii="Arial Narrow" w:hAnsi="Arial Narrow" w:cs="Arial"/>
          <w:sz w:val="24"/>
          <w:szCs w:val="24"/>
          <w:lang w:val="es-ES_tradnl"/>
        </w:rPr>
        <w:t xml:space="preserve"> respecto de las actas y versiones</w:t>
      </w:r>
      <w:r w:rsidRPr="00CD728B">
        <w:rPr>
          <w:rFonts w:ascii="Arial Narrow" w:hAnsi="Arial Narrow" w:cs="Arial"/>
          <w:sz w:val="24"/>
          <w:szCs w:val="24"/>
          <w:lang w:val="es-ES_tradnl"/>
        </w:rPr>
        <w:t xml:space="preserve"> estenográficas de las sesiones del Consejo Consultivo, así como las opiniones que emite</w:t>
      </w:r>
      <w:r w:rsidRPr="00CD728B">
        <w:rPr>
          <w:rFonts w:ascii="Arial Narrow" w:hAnsi="Arial Narrow" w:cs="Arial"/>
          <w:sz w:val="24"/>
          <w:szCs w:val="24"/>
        </w:rPr>
        <w:t xml:space="preserve">. </w:t>
      </w:r>
      <w:r w:rsidRPr="00CD728B">
        <w:rPr>
          <w:rFonts w:ascii="Arial Narrow" w:hAnsi="Arial Narrow" w:cs="Arial"/>
          <w:sz w:val="24"/>
          <w:szCs w:val="24"/>
          <w:lang w:val="es-ES_tradnl"/>
        </w:rPr>
        <w:t xml:space="preserve">El </w:t>
      </w:r>
      <w:r w:rsidR="005A4A11" w:rsidRPr="00CD728B">
        <w:rPr>
          <w:rFonts w:ascii="Arial Narrow" w:hAnsi="Arial Narrow" w:cs="Arial"/>
          <w:sz w:val="24"/>
          <w:szCs w:val="24"/>
          <w:lang w:val="es-ES_tradnl"/>
        </w:rPr>
        <w:t>Sujeto Obligado</w:t>
      </w:r>
      <w:r w:rsidRPr="00CD728B">
        <w:rPr>
          <w:rFonts w:ascii="Arial Narrow" w:hAnsi="Arial Narrow" w:cs="Arial"/>
          <w:sz w:val="24"/>
          <w:szCs w:val="24"/>
          <w:lang w:val="es-ES_tradnl"/>
        </w:rPr>
        <w:t xml:space="preserve"> deberá actualizar la información conforme a la normatividad correspondiente.</w:t>
      </w:r>
    </w:p>
    <w:p w:rsidR="008A7753" w:rsidRPr="00CD728B" w:rsidRDefault="008A7753" w:rsidP="008A7753">
      <w:pPr>
        <w:pStyle w:val="Prrafodelista"/>
        <w:spacing w:before="100" w:beforeAutospacing="1" w:after="100" w:afterAutospacing="1" w:line="360" w:lineRule="auto"/>
        <w:jc w:val="both"/>
        <w:rPr>
          <w:rFonts w:ascii="Arial Narrow" w:hAnsi="Arial Narrow" w:cs="Arial"/>
          <w:sz w:val="24"/>
          <w:szCs w:val="24"/>
          <w:lang w:val="es-ES_tradnl"/>
        </w:rPr>
      </w:pPr>
    </w:p>
    <w:p w:rsidR="008A7753" w:rsidRPr="00CD728B" w:rsidRDefault="00A211E8" w:rsidP="008A7753">
      <w:pPr>
        <w:pStyle w:val="Prrafodelista"/>
        <w:numPr>
          <w:ilvl w:val="0"/>
          <w:numId w:val="2"/>
        </w:numPr>
        <w:spacing w:before="100" w:beforeAutospacing="1" w:after="100" w:afterAutospacing="1" w:line="360" w:lineRule="auto"/>
        <w:jc w:val="both"/>
        <w:rPr>
          <w:rFonts w:ascii="Arial Narrow" w:hAnsi="Arial Narrow" w:cs="Arial"/>
          <w:sz w:val="24"/>
          <w:szCs w:val="24"/>
          <w:lang w:val="es-ES_tradnl"/>
        </w:rPr>
      </w:pPr>
      <w:r w:rsidRPr="00CD728B">
        <w:rPr>
          <w:rFonts w:ascii="Arial Narrow" w:hAnsi="Arial Narrow" w:cs="Arial"/>
          <w:sz w:val="24"/>
          <w:szCs w:val="24"/>
          <w:lang w:val="es-ES_tradnl"/>
        </w:rPr>
        <w:t xml:space="preserve">Fracción X, con un ICP de 96.88%, respecto a la publicación de los programas de prevención y promoción en derechos humanos. El </w:t>
      </w:r>
      <w:r w:rsidR="005A4A11" w:rsidRPr="00CD728B">
        <w:rPr>
          <w:rFonts w:ascii="Arial Narrow" w:hAnsi="Arial Narrow" w:cs="Arial"/>
          <w:sz w:val="24"/>
          <w:szCs w:val="24"/>
          <w:lang w:val="es-ES_tradnl"/>
        </w:rPr>
        <w:t>Sujeto Obligado</w:t>
      </w:r>
      <w:r w:rsidRPr="00CD728B">
        <w:rPr>
          <w:rFonts w:ascii="Arial Narrow" w:hAnsi="Arial Narrow" w:cs="Arial"/>
          <w:sz w:val="24"/>
          <w:szCs w:val="24"/>
          <w:lang w:val="es-ES_tradnl"/>
        </w:rPr>
        <w:t xml:space="preserve"> deberá utilizar el formato correspondiente a la fracción toda vez que no es el mismo que se descarga de la PNT. </w:t>
      </w:r>
    </w:p>
    <w:p w:rsidR="008A7753" w:rsidRPr="00CD728B" w:rsidRDefault="008A7753" w:rsidP="008A7753">
      <w:pPr>
        <w:pStyle w:val="Prrafodelista"/>
        <w:spacing w:before="100" w:beforeAutospacing="1" w:after="100" w:afterAutospacing="1" w:line="360" w:lineRule="auto"/>
        <w:jc w:val="both"/>
        <w:rPr>
          <w:rFonts w:ascii="Arial Narrow" w:hAnsi="Arial Narrow" w:cs="Arial"/>
          <w:sz w:val="24"/>
          <w:szCs w:val="24"/>
          <w:lang w:val="es-ES_tradnl"/>
        </w:rPr>
      </w:pPr>
    </w:p>
    <w:p w:rsidR="00A211E8" w:rsidRPr="00CD728B" w:rsidRDefault="00A211E8"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lastRenderedPageBreak/>
        <w:t xml:space="preserve">Las demás fracciones pertenecientes a este </w:t>
      </w:r>
      <w:r w:rsidR="009D7771">
        <w:rPr>
          <w:rFonts w:ascii="Arial Narrow" w:hAnsi="Arial Narrow" w:cs="Arial"/>
          <w:sz w:val="24"/>
          <w:szCs w:val="24"/>
        </w:rPr>
        <w:t>Artículo</w:t>
      </w:r>
      <w:r w:rsidRPr="00CD728B">
        <w:rPr>
          <w:rFonts w:ascii="Arial Narrow" w:hAnsi="Arial Narrow" w:cs="Arial"/>
          <w:sz w:val="24"/>
          <w:szCs w:val="24"/>
        </w:rPr>
        <w:t xml:space="preserve"> obtuvieron un ICP de 100%.</w:t>
      </w:r>
    </w:p>
    <w:p w:rsidR="00A211E8" w:rsidRPr="00CD728B" w:rsidRDefault="00A211E8" w:rsidP="002E7D47">
      <w:pPr>
        <w:pStyle w:val="Ttulo3"/>
        <w:numPr>
          <w:ilvl w:val="1"/>
          <w:numId w:val="26"/>
        </w:numPr>
        <w:contextualSpacing/>
        <w:jc w:val="both"/>
        <w:rPr>
          <w:rFonts w:ascii="Arial Narrow" w:hAnsi="Arial Narrow"/>
          <w:b/>
          <w:color w:val="auto"/>
        </w:rPr>
      </w:pPr>
      <w:bookmarkStart w:id="69" w:name="_Toc14293770"/>
      <w:r w:rsidRPr="00CD728B">
        <w:rPr>
          <w:rFonts w:ascii="Arial Narrow" w:hAnsi="Arial Narrow"/>
          <w:b/>
          <w:color w:val="auto"/>
        </w:rPr>
        <w:t xml:space="preserve">Análisis del </w:t>
      </w:r>
      <w:r w:rsidR="009D7771">
        <w:rPr>
          <w:rFonts w:ascii="Arial Narrow" w:hAnsi="Arial Narrow"/>
          <w:b/>
          <w:color w:val="auto"/>
        </w:rPr>
        <w:t>Artículo</w:t>
      </w:r>
      <w:r w:rsidRPr="00CD728B">
        <w:rPr>
          <w:rFonts w:ascii="Arial Narrow" w:hAnsi="Arial Narrow"/>
          <w:b/>
          <w:color w:val="auto"/>
        </w:rPr>
        <w:t xml:space="preserve"> 133 y sus respectivas fracciones, sobre el Instituto de Transparencia, Acceso a la Información Pública, Protección de Datos Personales y Rendición de Cuentas de la Ciudad de México</w:t>
      </w:r>
      <w:bookmarkEnd w:id="69"/>
    </w:p>
    <w:p w:rsidR="008A7753" w:rsidRPr="00CD728B" w:rsidRDefault="008A7753" w:rsidP="002E7D47">
      <w:pPr>
        <w:spacing w:before="100" w:beforeAutospacing="1" w:after="100" w:afterAutospacing="1" w:line="360" w:lineRule="auto"/>
        <w:contextualSpacing/>
        <w:jc w:val="both"/>
        <w:rPr>
          <w:rFonts w:ascii="Arial Narrow" w:hAnsi="Arial Narrow" w:cs="Arial"/>
          <w:sz w:val="24"/>
          <w:szCs w:val="24"/>
        </w:rPr>
      </w:pPr>
    </w:p>
    <w:p w:rsidR="00A211E8" w:rsidRPr="00CD728B" w:rsidRDefault="00A211E8"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 xml:space="preserve">El Instituto obtuvo un ICP en este </w:t>
      </w:r>
      <w:r w:rsidR="009D7771">
        <w:rPr>
          <w:rFonts w:ascii="Arial Narrow" w:hAnsi="Arial Narrow" w:cs="Arial"/>
          <w:sz w:val="24"/>
          <w:szCs w:val="24"/>
        </w:rPr>
        <w:t>Artículo</w:t>
      </w:r>
      <w:r w:rsidRPr="00CD728B">
        <w:rPr>
          <w:rFonts w:ascii="Arial Narrow" w:hAnsi="Arial Narrow" w:cs="Arial"/>
          <w:sz w:val="24"/>
          <w:szCs w:val="24"/>
        </w:rPr>
        <w:t xml:space="preserve"> de 83.26%; por lo que se encuentra dentro del área de cumplimiento parcial. Las cuatro fracciones que tienen mayor área de oportunidad, ya que se colocaron en un cumplimiento parcial entre 50% y 75%, son las siguientes: </w:t>
      </w:r>
    </w:p>
    <w:p w:rsidR="00A211E8" w:rsidRPr="00CD728B" w:rsidRDefault="00A211E8" w:rsidP="002E7D47">
      <w:pPr>
        <w:pStyle w:val="Prrafodelista"/>
        <w:numPr>
          <w:ilvl w:val="0"/>
          <w:numId w:val="2"/>
        </w:numPr>
        <w:spacing w:before="100" w:beforeAutospacing="1" w:after="100" w:afterAutospacing="1" w:line="360" w:lineRule="auto"/>
        <w:jc w:val="both"/>
        <w:rPr>
          <w:rFonts w:ascii="Arial Narrow" w:hAnsi="Arial Narrow" w:cs="Arial"/>
          <w:sz w:val="24"/>
          <w:szCs w:val="24"/>
          <w:lang w:val="es-ES_tradnl"/>
        </w:rPr>
      </w:pPr>
      <w:r w:rsidRPr="00CD728B">
        <w:rPr>
          <w:rFonts w:ascii="Arial Narrow" w:hAnsi="Arial Narrow" w:cs="Arial"/>
          <w:sz w:val="24"/>
          <w:szCs w:val="24"/>
          <w:lang w:val="es-ES_tradnl"/>
        </w:rPr>
        <w:t>Fracción II, con un ICP de 50 %, respecto de los criterios orientadores que derivan de sus resoluciones. En este caso se observó que no se actualizó conforme a la normatividad correspondiente.</w:t>
      </w:r>
    </w:p>
    <w:p w:rsidR="008A7753" w:rsidRPr="00CD728B" w:rsidRDefault="008A7753" w:rsidP="008A7753">
      <w:pPr>
        <w:pStyle w:val="Prrafodelista"/>
        <w:spacing w:before="100" w:beforeAutospacing="1" w:after="100" w:afterAutospacing="1" w:line="360" w:lineRule="auto"/>
        <w:jc w:val="both"/>
        <w:rPr>
          <w:rFonts w:ascii="Arial Narrow" w:hAnsi="Arial Narrow" w:cs="Arial"/>
          <w:sz w:val="24"/>
          <w:szCs w:val="24"/>
          <w:lang w:val="es-ES_tradnl"/>
        </w:rPr>
      </w:pPr>
    </w:p>
    <w:p w:rsidR="008A7753" w:rsidRPr="00CD728B" w:rsidRDefault="00A211E8" w:rsidP="008A7753">
      <w:pPr>
        <w:pStyle w:val="Prrafodelista"/>
        <w:numPr>
          <w:ilvl w:val="0"/>
          <w:numId w:val="2"/>
        </w:numPr>
        <w:spacing w:before="100" w:beforeAutospacing="1" w:after="100" w:afterAutospacing="1" w:line="360" w:lineRule="auto"/>
        <w:jc w:val="both"/>
        <w:rPr>
          <w:rFonts w:ascii="Arial Narrow" w:hAnsi="Arial Narrow" w:cs="Arial"/>
          <w:sz w:val="24"/>
          <w:szCs w:val="24"/>
          <w:lang w:val="es-ES_tradnl"/>
        </w:rPr>
      </w:pPr>
      <w:r w:rsidRPr="00CD728B">
        <w:rPr>
          <w:rFonts w:ascii="Arial Narrow" w:hAnsi="Arial Narrow" w:cs="Arial"/>
          <w:sz w:val="24"/>
          <w:szCs w:val="24"/>
          <w:lang w:val="es-ES_tradnl"/>
        </w:rPr>
        <w:t xml:space="preserve">Fracción V, con un ICP de 50%, en la cual se establece la publicación de las sentencias, ejecutorias o suspensión judicial que existan en contra de sus resoluciones. El </w:t>
      </w:r>
      <w:r w:rsidR="005A4A11" w:rsidRPr="00CD728B">
        <w:rPr>
          <w:rFonts w:ascii="Arial Narrow" w:hAnsi="Arial Narrow" w:cs="Arial"/>
          <w:sz w:val="24"/>
          <w:szCs w:val="24"/>
          <w:lang w:val="es-ES_tradnl"/>
        </w:rPr>
        <w:t>Sujeto Obligado</w:t>
      </w:r>
      <w:r w:rsidRPr="00CD728B">
        <w:rPr>
          <w:rFonts w:ascii="Arial Narrow" w:hAnsi="Arial Narrow" w:cs="Arial"/>
          <w:sz w:val="24"/>
          <w:szCs w:val="24"/>
          <w:lang w:val="es-ES_tradnl"/>
        </w:rPr>
        <w:t xml:space="preserve"> deberá actualizar la información conforme a la normatividad correspondiente.</w:t>
      </w:r>
    </w:p>
    <w:p w:rsidR="008A7753" w:rsidRPr="00CD728B" w:rsidRDefault="008A7753" w:rsidP="008A7753">
      <w:pPr>
        <w:pStyle w:val="Prrafodelista"/>
        <w:spacing w:before="100" w:beforeAutospacing="1" w:after="100" w:afterAutospacing="1" w:line="360" w:lineRule="auto"/>
        <w:jc w:val="both"/>
        <w:rPr>
          <w:rFonts w:ascii="Arial Narrow" w:hAnsi="Arial Narrow" w:cs="Arial"/>
          <w:sz w:val="24"/>
          <w:szCs w:val="24"/>
          <w:lang w:val="es-ES_tradnl"/>
        </w:rPr>
      </w:pPr>
    </w:p>
    <w:p w:rsidR="008A7753" w:rsidRPr="00CD728B" w:rsidRDefault="00A211E8" w:rsidP="008A7753">
      <w:pPr>
        <w:pStyle w:val="Prrafodelista"/>
        <w:numPr>
          <w:ilvl w:val="0"/>
          <w:numId w:val="2"/>
        </w:numPr>
        <w:spacing w:before="100" w:beforeAutospacing="1" w:after="100" w:afterAutospacing="1" w:line="360" w:lineRule="auto"/>
        <w:jc w:val="both"/>
        <w:rPr>
          <w:rFonts w:ascii="Arial Narrow" w:hAnsi="Arial Narrow" w:cs="Arial"/>
          <w:sz w:val="24"/>
          <w:szCs w:val="24"/>
          <w:lang w:val="es-ES_tradnl"/>
        </w:rPr>
      </w:pPr>
      <w:r w:rsidRPr="00CD728B">
        <w:rPr>
          <w:rFonts w:ascii="Arial Narrow" w:hAnsi="Arial Narrow" w:cs="Arial"/>
          <w:sz w:val="24"/>
          <w:szCs w:val="24"/>
          <w:lang w:val="es-ES_tradnl"/>
        </w:rPr>
        <w:t xml:space="preserve">Fracción VII, con un ICP de 66.67%, consistente en las actas, las versiones estenográficas, la liga de internet donde pueden ver en directo las sesiones celebradas del pleno. Se identificó que el </w:t>
      </w:r>
      <w:r w:rsidR="005A4A11" w:rsidRPr="00CD728B">
        <w:rPr>
          <w:rFonts w:ascii="Arial Narrow" w:hAnsi="Arial Narrow" w:cs="Arial"/>
          <w:sz w:val="24"/>
          <w:szCs w:val="24"/>
          <w:lang w:val="es-ES_tradnl"/>
        </w:rPr>
        <w:t>Sujeto Obligado</w:t>
      </w:r>
      <w:r w:rsidRPr="00CD728B">
        <w:rPr>
          <w:rFonts w:ascii="Arial Narrow" w:hAnsi="Arial Narrow" w:cs="Arial"/>
          <w:sz w:val="24"/>
          <w:szCs w:val="24"/>
          <w:lang w:val="es-ES_tradnl"/>
        </w:rPr>
        <w:t xml:space="preserve"> no publicó la información de manera mensual.</w:t>
      </w:r>
    </w:p>
    <w:p w:rsidR="008A7753" w:rsidRPr="00CD728B" w:rsidRDefault="008A7753" w:rsidP="008A7753">
      <w:pPr>
        <w:pStyle w:val="Prrafodelista"/>
        <w:spacing w:before="100" w:beforeAutospacing="1" w:after="100" w:afterAutospacing="1" w:line="360" w:lineRule="auto"/>
        <w:jc w:val="both"/>
        <w:rPr>
          <w:rFonts w:ascii="Arial Narrow" w:hAnsi="Arial Narrow" w:cs="Arial"/>
          <w:sz w:val="24"/>
          <w:szCs w:val="24"/>
          <w:lang w:val="es-ES_tradnl"/>
        </w:rPr>
      </w:pPr>
    </w:p>
    <w:p w:rsidR="008A7753" w:rsidRPr="00CD728B" w:rsidRDefault="00A211E8" w:rsidP="008A7753">
      <w:pPr>
        <w:pStyle w:val="Prrafodelista"/>
        <w:numPr>
          <w:ilvl w:val="0"/>
          <w:numId w:val="2"/>
        </w:numPr>
        <w:spacing w:before="100" w:beforeAutospacing="1" w:after="100" w:afterAutospacing="1" w:line="360" w:lineRule="auto"/>
        <w:jc w:val="both"/>
        <w:rPr>
          <w:rFonts w:ascii="Arial Narrow" w:hAnsi="Arial Narrow" w:cs="Arial"/>
          <w:sz w:val="24"/>
          <w:szCs w:val="24"/>
          <w:lang w:val="es-ES_tradnl"/>
        </w:rPr>
      </w:pPr>
      <w:r w:rsidRPr="00CD728B">
        <w:rPr>
          <w:rFonts w:ascii="Arial Narrow" w:hAnsi="Arial Narrow" w:cs="Arial"/>
          <w:sz w:val="24"/>
          <w:szCs w:val="24"/>
          <w:lang w:val="es-ES_tradnl"/>
        </w:rPr>
        <w:t xml:space="preserve">Fracción III, con un ICP de 74.69%, respecto de las estadísticas e indicadores sobre los medios de impugnación, en donde se identifique el </w:t>
      </w:r>
      <w:r w:rsidR="005A4A11" w:rsidRPr="00CD728B">
        <w:rPr>
          <w:rFonts w:ascii="Arial Narrow" w:hAnsi="Arial Narrow" w:cs="Arial"/>
          <w:sz w:val="24"/>
          <w:szCs w:val="24"/>
          <w:lang w:val="es-ES_tradnl"/>
        </w:rPr>
        <w:t>Sujeto Obligado</w:t>
      </w:r>
      <w:r w:rsidRPr="00CD728B">
        <w:rPr>
          <w:rFonts w:ascii="Arial Narrow" w:hAnsi="Arial Narrow" w:cs="Arial"/>
          <w:sz w:val="24"/>
          <w:szCs w:val="24"/>
          <w:lang w:val="es-ES_tradnl"/>
        </w:rPr>
        <w:t xml:space="preserve"> recurrido, el sentido de la resolución y el cumplimiento de las mismas, así como las resoluciones que se emitan, y de los incumplimientos a las resoluciones dictadas</w:t>
      </w:r>
      <w:r w:rsidRPr="00CD728B">
        <w:rPr>
          <w:rFonts w:ascii="Arial Narrow" w:hAnsi="Arial Narrow" w:cs="Arial"/>
          <w:sz w:val="24"/>
          <w:szCs w:val="24"/>
        </w:rPr>
        <w:t>. E</w:t>
      </w:r>
      <w:r w:rsidRPr="00CD728B">
        <w:rPr>
          <w:rFonts w:ascii="Arial Narrow" w:hAnsi="Arial Narrow" w:cs="Arial"/>
          <w:sz w:val="24"/>
          <w:szCs w:val="24"/>
          <w:lang w:val="es-ES_tradnl"/>
        </w:rPr>
        <w:t xml:space="preserve">l </w:t>
      </w:r>
      <w:r w:rsidR="005A4A11" w:rsidRPr="00CD728B">
        <w:rPr>
          <w:rFonts w:ascii="Arial Narrow" w:hAnsi="Arial Narrow" w:cs="Arial"/>
          <w:sz w:val="24"/>
          <w:szCs w:val="24"/>
          <w:lang w:val="es-ES_tradnl"/>
        </w:rPr>
        <w:t>Sujeto Obligado</w:t>
      </w:r>
      <w:r w:rsidRPr="00CD728B">
        <w:rPr>
          <w:rFonts w:ascii="Arial Narrow" w:hAnsi="Arial Narrow" w:cs="Arial"/>
          <w:sz w:val="24"/>
          <w:szCs w:val="24"/>
          <w:lang w:val="es-ES_tradnl"/>
        </w:rPr>
        <w:t xml:space="preserve"> deberá actualizar la información conforme a la normatividad correspondiente.</w:t>
      </w:r>
    </w:p>
    <w:p w:rsidR="008A7753" w:rsidRPr="00CD728B" w:rsidRDefault="008A7753" w:rsidP="008A7753">
      <w:pPr>
        <w:pStyle w:val="Prrafodelista"/>
        <w:spacing w:before="100" w:beforeAutospacing="1" w:after="100" w:afterAutospacing="1" w:line="360" w:lineRule="auto"/>
        <w:jc w:val="both"/>
        <w:rPr>
          <w:rFonts w:ascii="Arial Narrow" w:hAnsi="Arial Narrow" w:cs="Arial"/>
          <w:sz w:val="24"/>
          <w:szCs w:val="24"/>
          <w:lang w:val="es-ES_tradnl"/>
        </w:rPr>
      </w:pPr>
    </w:p>
    <w:p w:rsidR="008A7753" w:rsidRPr="00CD728B" w:rsidRDefault="00A211E8" w:rsidP="008A7753">
      <w:pPr>
        <w:pStyle w:val="Prrafodelista"/>
        <w:numPr>
          <w:ilvl w:val="0"/>
          <w:numId w:val="2"/>
        </w:numPr>
        <w:spacing w:before="100" w:beforeAutospacing="1" w:after="100" w:afterAutospacing="1" w:line="360" w:lineRule="auto"/>
        <w:jc w:val="both"/>
        <w:rPr>
          <w:rFonts w:ascii="Arial Narrow" w:hAnsi="Arial Narrow" w:cs="Arial"/>
          <w:sz w:val="24"/>
          <w:szCs w:val="24"/>
          <w:lang w:val="es-ES_tradnl"/>
        </w:rPr>
      </w:pPr>
      <w:r w:rsidRPr="00CD728B">
        <w:rPr>
          <w:rFonts w:ascii="Arial Narrow" w:hAnsi="Arial Narrow" w:cs="Arial"/>
          <w:sz w:val="24"/>
          <w:szCs w:val="24"/>
          <w:lang w:val="es-ES_tradnl"/>
        </w:rPr>
        <w:lastRenderedPageBreak/>
        <w:t xml:space="preserve">Fracción XII, con un ICP de </w:t>
      </w:r>
      <w:r w:rsidR="00F21221" w:rsidRPr="00CD728B">
        <w:rPr>
          <w:rFonts w:ascii="Arial Narrow" w:hAnsi="Arial Narrow" w:cs="Arial"/>
          <w:sz w:val="24"/>
          <w:szCs w:val="24"/>
          <w:lang w:val="es-ES_tradnl"/>
        </w:rPr>
        <w:t>75</w:t>
      </w:r>
      <w:r w:rsidRPr="00CD728B">
        <w:rPr>
          <w:rFonts w:ascii="Arial Narrow" w:hAnsi="Arial Narrow" w:cs="Arial"/>
          <w:sz w:val="24"/>
          <w:szCs w:val="24"/>
          <w:lang w:val="es-ES_tradnl"/>
        </w:rPr>
        <w:t>%, respecto de los amparos, las acciones de inconstitucionalidad y los recursos de inconformidad que existan en contra de sus resoluciones</w:t>
      </w:r>
      <w:r w:rsidRPr="00CD728B">
        <w:rPr>
          <w:rFonts w:ascii="Arial Narrow" w:hAnsi="Arial Narrow" w:cs="Arial"/>
          <w:sz w:val="24"/>
          <w:szCs w:val="24"/>
        </w:rPr>
        <w:t xml:space="preserve">. En este caso, se observó que el </w:t>
      </w:r>
      <w:r w:rsidR="005A4A11" w:rsidRPr="00CD728B">
        <w:rPr>
          <w:rFonts w:ascii="Arial Narrow" w:hAnsi="Arial Narrow" w:cs="Arial"/>
          <w:sz w:val="24"/>
          <w:szCs w:val="24"/>
        </w:rPr>
        <w:t>Sujeto Obligado</w:t>
      </w:r>
      <w:r w:rsidRPr="00CD728B">
        <w:rPr>
          <w:rFonts w:ascii="Arial Narrow" w:hAnsi="Arial Narrow" w:cs="Arial"/>
          <w:sz w:val="24"/>
          <w:szCs w:val="24"/>
        </w:rPr>
        <w:t xml:space="preserve"> </w:t>
      </w:r>
      <w:r w:rsidRPr="00CD728B">
        <w:rPr>
          <w:rFonts w:ascii="Arial Narrow" w:hAnsi="Arial Narrow" w:cs="Arial"/>
          <w:sz w:val="24"/>
          <w:szCs w:val="24"/>
          <w:lang w:val="es-ES_tradnl"/>
        </w:rPr>
        <w:t>no actualiza la fracción conforme a la normatividad correspondiente.</w:t>
      </w:r>
    </w:p>
    <w:p w:rsidR="008A7753" w:rsidRPr="00CD728B" w:rsidRDefault="008A7753" w:rsidP="008A7753">
      <w:pPr>
        <w:pStyle w:val="Prrafodelista"/>
        <w:spacing w:before="100" w:beforeAutospacing="1" w:after="100" w:afterAutospacing="1" w:line="360" w:lineRule="auto"/>
        <w:jc w:val="both"/>
        <w:rPr>
          <w:rFonts w:ascii="Arial Narrow" w:hAnsi="Arial Narrow" w:cs="Arial"/>
          <w:sz w:val="24"/>
          <w:szCs w:val="24"/>
          <w:lang w:val="es-ES_tradnl"/>
        </w:rPr>
      </w:pPr>
    </w:p>
    <w:p w:rsidR="00A211E8" w:rsidRPr="00CD728B" w:rsidRDefault="00A211E8"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 xml:space="preserve">Las demás fracciones pertenecientes a este </w:t>
      </w:r>
      <w:r w:rsidR="009D7771">
        <w:rPr>
          <w:rFonts w:ascii="Arial Narrow" w:hAnsi="Arial Narrow" w:cs="Arial"/>
          <w:sz w:val="24"/>
          <w:szCs w:val="24"/>
        </w:rPr>
        <w:t>Artículo</w:t>
      </w:r>
      <w:r w:rsidRPr="00CD728B">
        <w:rPr>
          <w:rFonts w:ascii="Arial Narrow" w:hAnsi="Arial Narrow" w:cs="Arial"/>
          <w:sz w:val="24"/>
          <w:szCs w:val="24"/>
        </w:rPr>
        <w:t xml:space="preserve"> obtuvieron un ICP de 100%.</w:t>
      </w:r>
    </w:p>
    <w:p w:rsidR="008A7753" w:rsidRPr="00CD728B" w:rsidRDefault="008A7753" w:rsidP="002E7D47">
      <w:pPr>
        <w:spacing w:before="100" w:beforeAutospacing="1" w:after="100" w:afterAutospacing="1" w:line="360" w:lineRule="auto"/>
        <w:contextualSpacing/>
        <w:jc w:val="both"/>
        <w:rPr>
          <w:rFonts w:ascii="Arial Narrow" w:hAnsi="Arial Narrow" w:cs="Arial"/>
          <w:sz w:val="24"/>
          <w:szCs w:val="24"/>
        </w:rPr>
      </w:pPr>
    </w:p>
    <w:p w:rsidR="00A211E8" w:rsidRPr="00CD728B" w:rsidRDefault="00A211E8" w:rsidP="002E7D47">
      <w:pPr>
        <w:pStyle w:val="Ttulo3"/>
        <w:numPr>
          <w:ilvl w:val="1"/>
          <w:numId w:val="26"/>
        </w:numPr>
        <w:contextualSpacing/>
        <w:jc w:val="both"/>
        <w:rPr>
          <w:rFonts w:ascii="Arial Narrow" w:hAnsi="Arial Narrow"/>
          <w:b/>
          <w:color w:val="auto"/>
        </w:rPr>
      </w:pPr>
      <w:bookmarkStart w:id="70" w:name="_Toc14293771"/>
      <w:r w:rsidRPr="00CD728B">
        <w:rPr>
          <w:rFonts w:ascii="Arial Narrow" w:hAnsi="Arial Narrow"/>
          <w:b/>
          <w:color w:val="auto"/>
        </w:rPr>
        <w:t xml:space="preserve">Análisis del </w:t>
      </w:r>
      <w:r w:rsidR="009D7771">
        <w:rPr>
          <w:rFonts w:ascii="Arial Narrow" w:hAnsi="Arial Narrow"/>
          <w:b/>
          <w:color w:val="auto"/>
        </w:rPr>
        <w:t>Artículo</w:t>
      </w:r>
      <w:r w:rsidRPr="00CD728B">
        <w:rPr>
          <w:rFonts w:ascii="Arial Narrow" w:hAnsi="Arial Narrow"/>
          <w:b/>
          <w:color w:val="auto"/>
        </w:rPr>
        <w:t xml:space="preserve"> 134 y sus respectivas fracciones, sobre la Universidad Autónoma de la Ciudad de México (UACM)</w:t>
      </w:r>
      <w:bookmarkEnd w:id="70"/>
    </w:p>
    <w:p w:rsidR="008A7753" w:rsidRPr="00CD728B" w:rsidRDefault="008A7753" w:rsidP="002E7D47">
      <w:pPr>
        <w:spacing w:before="100" w:beforeAutospacing="1" w:after="100" w:afterAutospacing="1" w:line="360" w:lineRule="auto"/>
        <w:contextualSpacing/>
        <w:jc w:val="both"/>
        <w:rPr>
          <w:rFonts w:ascii="Arial Narrow" w:hAnsi="Arial Narrow" w:cs="Arial"/>
          <w:sz w:val="24"/>
          <w:szCs w:val="24"/>
        </w:rPr>
      </w:pPr>
    </w:p>
    <w:p w:rsidR="00A211E8" w:rsidRPr="00CD728B" w:rsidRDefault="00A211E8"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 xml:space="preserve">La UACM obtuvo un ICP en este </w:t>
      </w:r>
      <w:r w:rsidR="009D7771">
        <w:rPr>
          <w:rFonts w:ascii="Arial Narrow" w:hAnsi="Arial Narrow" w:cs="Arial"/>
          <w:sz w:val="24"/>
          <w:szCs w:val="24"/>
        </w:rPr>
        <w:t>Artículo</w:t>
      </w:r>
      <w:r w:rsidRPr="00CD728B">
        <w:rPr>
          <w:rFonts w:ascii="Arial Narrow" w:hAnsi="Arial Narrow" w:cs="Arial"/>
          <w:sz w:val="24"/>
          <w:szCs w:val="24"/>
        </w:rPr>
        <w:t xml:space="preserve"> de 31.04%; por lo que se encuentra dentro del área de incumplimiento parcial. Las 12 fracciones que tienen mayor área de oportunidad, ya que se colocaron en un incumplimiento parcial entre 0% y 50%, son las siguientes: </w:t>
      </w:r>
    </w:p>
    <w:p w:rsidR="00A211E8" w:rsidRPr="00CD728B" w:rsidRDefault="00A211E8" w:rsidP="002E7D47">
      <w:pPr>
        <w:pStyle w:val="Prrafodelista"/>
        <w:numPr>
          <w:ilvl w:val="0"/>
          <w:numId w:val="11"/>
        </w:numPr>
        <w:spacing w:before="100" w:beforeAutospacing="1" w:after="100" w:afterAutospacing="1" w:line="360" w:lineRule="auto"/>
        <w:jc w:val="both"/>
        <w:rPr>
          <w:rFonts w:ascii="Arial Narrow" w:hAnsi="Arial Narrow" w:cs="Arial"/>
          <w:sz w:val="24"/>
          <w:szCs w:val="24"/>
        </w:rPr>
      </w:pPr>
      <w:r w:rsidRPr="00CD728B">
        <w:rPr>
          <w:rFonts w:ascii="Arial Narrow" w:hAnsi="Arial Narrow" w:cs="Arial"/>
          <w:sz w:val="24"/>
          <w:szCs w:val="24"/>
        </w:rPr>
        <w:t xml:space="preserve">Fracción III, con un ICP de 0%, respecto a los indicadores de resultados en las evaluaciones al desempeño de la planta académica y administrativa. El </w:t>
      </w:r>
      <w:r w:rsidR="005A4A11" w:rsidRPr="00CD728B">
        <w:rPr>
          <w:rFonts w:ascii="Arial Narrow" w:hAnsi="Arial Narrow" w:cs="Arial"/>
          <w:sz w:val="24"/>
          <w:szCs w:val="24"/>
        </w:rPr>
        <w:t>Sujeto Obligado</w:t>
      </w:r>
      <w:r w:rsidRPr="00CD728B">
        <w:rPr>
          <w:rFonts w:ascii="Arial Narrow" w:hAnsi="Arial Narrow" w:cs="Arial"/>
          <w:sz w:val="24"/>
          <w:szCs w:val="24"/>
        </w:rPr>
        <w:t xml:space="preserve"> deberá de publicar la información o en caso de no haberla generado, deberá fundamentar y motivar las razones.</w:t>
      </w:r>
    </w:p>
    <w:p w:rsidR="008A7753" w:rsidRPr="00CD728B" w:rsidRDefault="008A7753" w:rsidP="008A7753">
      <w:pPr>
        <w:pStyle w:val="Prrafodelista"/>
        <w:spacing w:before="100" w:beforeAutospacing="1" w:after="100" w:afterAutospacing="1" w:line="360" w:lineRule="auto"/>
        <w:jc w:val="both"/>
        <w:rPr>
          <w:rFonts w:ascii="Arial Narrow" w:hAnsi="Arial Narrow" w:cs="Arial"/>
          <w:sz w:val="24"/>
          <w:szCs w:val="24"/>
        </w:rPr>
      </w:pPr>
    </w:p>
    <w:p w:rsidR="00A211E8" w:rsidRPr="00CD728B" w:rsidRDefault="00A211E8" w:rsidP="002E7D47">
      <w:pPr>
        <w:pStyle w:val="Prrafodelista"/>
        <w:numPr>
          <w:ilvl w:val="0"/>
          <w:numId w:val="10"/>
        </w:numPr>
        <w:spacing w:before="100" w:beforeAutospacing="1" w:after="100" w:afterAutospacing="1" w:line="360" w:lineRule="auto"/>
        <w:jc w:val="both"/>
        <w:rPr>
          <w:rFonts w:ascii="Arial Narrow" w:hAnsi="Arial Narrow" w:cs="Arial"/>
          <w:sz w:val="24"/>
          <w:szCs w:val="24"/>
        </w:rPr>
      </w:pPr>
      <w:r w:rsidRPr="00CD728B">
        <w:rPr>
          <w:rFonts w:ascii="Arial Narrow" w:hAnsi="Arial Narrow" w:cs="Arial"/>
          <w:sz w:val="24"/>
          <w:szCs w:val="24"/>
        </w:rPr>
        <w:t xml:space="preserve">Fracción I, con un ICP de 27.08%, los planes y programas de estudio según el sistema que ofrecen, ya sea escolarizado o abierto, con las áreas de conocimiento, el perfil profesional de quien cursa el plan de estudios, la duración del programa con las asignaturas por semestre, su valor en créditos y una descripción sintética para cada una de ellas. El </w:t>
      </w:r>
      <w:r w:rsidR="005A4A11" w:rsidRPr="00CD728B">
        <w:rPr>
          <w:rFonts w:ascii="Arial Narrow" w:hAnsi="Arial Narrow" w:cs="Arial"/>
          <w:sz w:val="24"/>
          <w:szCs w:val="24"/>
        </w:rPr>
        <w:t>Sujeto Obligado</w:t>
      </w:r>
      <w:r w:rsidRPr="00CD728B">
        <w:rPr>
          <w:rFonts w:ascii="Arial Narrow" w:hAnsi="Arial Narrow" w:cs="Arial"/>
          <w:sz w:val="24"/>
          <w:szCs w:val="24"/>
        </w:rPr>
        <w:t xml:space="preserve"> deberá publicar y actualizar la información de acuerdo a la normatividad correspondiente. En caso de no haberla generado, deberá fundamentar y motivar las razones.</w:t>
      </w:r>
    </w:p>
    <w:p w:rsidR="008A7753" w:rsidRPr="00CD728B" w:rsidRDefault="008A7753" w:rsidP="008A7753">
      <w:pPr>
        <w:pStyle w:val="Prrafodelista"/>
        <w:spacing w:before="100" w:beforeAutospacing="1" w:after="100" w:afterAutospacing="1" w:line="360" w:lineRule="auto"/>
        <w:jc w:val="both"/>
        <w:rPr>
          <w:rFonts w:ascii="Arial Narrow" w:hAnsi="Arial Narrow" w:cs="Arial"/>
          <w:sz w:val="24"/>
          <w:szCs w:val="24"/>
        </w:rPr>
      </w:pPr>
    </w:p>
    <w:p w:rsidR="008A7753" w:rsidRPr="00CD728B" w:rsidRDefault="00A211E8" w:rsidP="008A7753">
      <w:pPr>
        <w:pStyle w:val="Prrafodelista"/>
        <w:numPr>
          <w:ilvl w:val="0"/>
          <w:numId w:val="10"/>
        </w:numPr>
        <w:spacing w:before="100" w:beforeAutospacing="1" w:after="100" w:afterAutospacing="1" w:line="360" w:lineRule="auto"/>
        <w:jc w:val="both"/>
        <w:rPr>
          <w:rFonts w:ascii="Arial Narrow" w:hAnsi="Arial Narrow" w:cs="Arial"/>
          <w:sz w:val="24"/>
          <w:szCs w:val="24"/>
        </w:rPr>
      </w:pPr>
      <w:r w:rsidRPr="00CD728B">
        <w:rPr>
          <w:rFonts w:ascii="Arial Narrow" w:hAnsi="Arial Narrow" w:cs="Arial"/>
          <w:sz w:val="24"/>
          <w:szCs w:val="24"/>
        </w:rPr>
        <w:lastRenderedPageBreak/>
        <w:t xml:space="preserve">Fracción II, con un ICP de 27.08%, toda la información relacionada con sus procedimientos de admisión. El </w:t>
      </w:r>
      <w:r w:rsidR="005A4A11" w:rsidRPr="00CD728B">
        <w:rPr>
          <w:rFonts w:ascii="Arial Narrow" w:hAnsi="Arial Narrow" w:cs="Arial"/>
          <w:sz w:val="24"/>
          <w:szCs w:val="24"/>
        </w:rPr>
        <w:t>Sujeto Obligado</w:t>
      </w:r>
      <w:r w:rsidRPr="00CD728B">
        <w:rPr>
          <w:rFonts w:ascii="Arial Narrow" w:hAnsi="Arial Narrow" w:cs="Arial"/>
          <w:sz w:val="24"/>
          <w:szCs w:val="24"/>
        </w:rPr>
        <w:t xml:space="preserve"> deberá publicar y actualizar la información de acuerdo a la normatividad correspondiente. En caso de no haberla generado, deberá fundamentar y motivar las razones.</w:t>
      </w:r>
    </w:p>
    <w:p w:rsidR="008A7753" w:rsidRPr="00CD728B" w:rsidRDefault="008A7753" w:rsidP="008A7753">
      <w:pPr>
        <w:pStyle w:val="Prrafodelista"/>
        <w:spacing w:before="100" w:beforeAutospacing="1" w:after="100" w:afterAutospacing="1" w:line="360" w:lineRule="auto"/>
        <w:jc w:val="both"/>
        <w:rPr>
          <w:rFonts w:ascii="Arial Narrow" w:hAnsi="Arial Narrow" w:cs="Arial"/>
          <w:sz w:val="24"/>
          <w:szCs w:val="24"/>
        </w:rPr>
      </w:pPr>
    </w:p>
    <w:p w:rsidR="008A7753" w:rsidRPr="00CD728B" w:rsidRDefault="00A211E8" w:rsidP="008A7753">
      <w:pPr>
        <w:pStyle w:val="Prrafodelista"/>
        <w:numPr>
          <w:ilvl w:val="0"/>
          <w:numId w:val="10"/>
        </w:numPr>
        <w:spacing w:before="100" w:beforeAutospacing="1" w:after="100" w:afterAutospacing="1" w:line="360" w:lineRule="auto"/>
        <w:jc w:val="both"/>
        <w:rPr>
          <w:rFonts w:ascii="Arial Narrow" w:hAnsi="Arial Narrow" w:cs="Arial"/>
          <w:sz w:val="24"/>
          <w:szCs w:val="24"/>
        </w:rPr>
      </w:pPr>
      <w:r w:rsidRPr="00CD728B">
        <w:rPr>
          <w:rFonts w:ascii="Arial Narrow" w:hAnsi="Arial Narrow" w:cs="Arial"/>
          <w:sz w:val="24"/>
          <w:szCs w:val="24"/>
        </w:rPr>
        <w:t>Fracción V, con un ICP de 27.08%, en el cual se establece la publicación de toda la información relacionada con sus procedimientos administrativos. Se deberá publicar y actualizar la información de acuerdo a la normatividad correspondiente. En caso de no haberla generado, deberá fundamentar y motivar las razones.</w:t>
      </w:r>
    </w:p>
    <w:p w:rsidR="008A7753" w:rsidRPr="00CD728B" w:rsidRDefault="008A7753" w:rsidP="008A7753">
      <w:pPr>
        <w:pStyle w:val="Prrafodelista"/>
        <w:spacing w:before="100" w:beforeAutospacing="1" w:after="100" w:afterAutospacing="1" w:line="360" w:lineRule="auto"/>
        <w:jc w:val="both"/>
        <w:rPr>
          <w:rFonts w:ascii="Arial Narrow" w:hAnsi="Arial Narrow" w:cs="Arial"/>
          <w:sz w:val="24"/>
          <w:szCs w:val="24"/>
        </w:rPr>
      </w:pPr>
    </w:p>
    <w:p w:rsidR="008A7753" w:rsidRPr="00CD728B" w:rsidRDefault="00A211E8" w:rsidP="008A7753">
      <w:pPr>
        <w:pStyle w:val="Prrafodelista"/>
        <w:numPr>
          <w:ilvl w:val="0"/>
          <w:numId w:val="10"/>
        </w:numPr>
        <w:spacing w:before="100" w:beforeAutospacing="1" w:after="100" w:afterAutospacing="1" w:line="360" w:lineRule="auto"/>
        <w:jc w:val="both"/>
        <w:rPr>
          <w:rFonts w:ascii="Arial Narrow" w:hAnsi="Arial Narrow" w:cs="Arial"/>
          <w:sz w:val="24"/>
          <w:szCs w:val="24"/>
        </w:rPr>
      </w:pPr>
      <w:r w:rsidRPr="00CD728B">
        <w:rPr>
          <w:rFonts w:ascii="Arial Narrow" w:hAnsi="Arial Narrow" w:cs="Arial"/>
          <w:sz w:val="24"/>
          <w:szCs w:val="24"/>
        </w:rPr>
        <w:t xml:space="preserve">Fracción VII, con un ICP de 27.08%, en el cual se establece la publicación del listado de becas y apoyos que otorgan, así como los procedimientos y requisitos para obtenerlos. El </w:t>
      </w:r>
      <w:r w:rsidR="005A4A11" w:rsidRPr="00CD728B">
        <w:rPr>
          <w:rFonts w:ascii="Arial Narrow" w:hAnsi="Arial Narrow" w:cs="Arial"/>
          <w:sz w:val="24"/>
          <w:szCs w:val="24"/>
        </w:rPr>
        <w:t>Sujeto Obligado</w:t>
      </w:r>
      <w:r w:rsidRPr="00CD728B">
        <w:rPr>
          <w:rFonts w:ascii="Arial Narrow" w:hAnsi="Arial Narrow" w:cs="Arial"/>
          <w:sz w:val="24"/>
          <w:szCs w:val="24"/>
        </w:rPr>
        <w:t xml:space="preserve"> deberá publicar y actualizar la información de acuerdo a la normatividad correspondiente. En caso de no haberla generado, deberá fundamentar y motivar las razones.</w:t>
      </w:r>
    </w:p>
    <w:p w:rsidR="008A7753" w:rsidRPr="00CD728B" w:rsidRDefault="008A7753" w:rsidP="008A7753">
      <w:pPr>
        <w:pStyle w:val="Prrafodelista"/>
        <w:spacing w:before="100" w:beforeAutospacing="1" w:after="100" w:afterAutospacing="1" w:line="360" w:lineRule="auto"/>
        <w:jc w:val="both"/>
        <w:rPr>
          <w:rFonts w:ascii="Arial Narrow" w:hAnsi="Arial Narrow" w:cs="Arial"/>
          <w:sz w:val="24"/>
          <w:szCs w:val="24"/>
        </w:rPr>
      </w:pPr>
    </w:p>
    <w:p w:rsidR="008A7753" w:rsidRPr="00CD728B" w:rsidRDefault="00A211E8" w:rsidP="008A7753">
      <w:pPr>
        <w:pStyle w:val="Prrafodelista"/>
        <w:numPr>
          <w:ilvl w:val="0"/>
          <w:numId w:val="10"/>
        </w:numPr>
        <w:spacing w:before="100" w:beforeAutospacing="1" w:after="100" w:afterAutospacing="1" w:line="360" w:lineRule="auto"/>
        <w:jc w:val="both"/>
        <w:rPr>
          <w:rFonts w:ascii="Arial Narrow" w:hAnsi="Arial Narrow" w:cs="Arial"/>
          <w:sz w:val="24"/>
          <w:szCs w:val="24"/>
        </w:rPr>
      </w:pPr>
      <w:r w:rsidRPr="00CD728B">
        <w:rPr>
          <w:rFonts w:ascii="Arial Narrow" w:hAnsi="Arial Narrow" w:cs="Arial"/>
          <w:sz w:val="24"/>
          <w:szCs w:val="24"/>
        </w:rPr>
        <w:t>Fracción VIII, con un ICP de 27.08%, respecto</w:t>
      </w:r>
      <w:r w:rsidR="00273629">
        <w:rPr>
          <w:rFonts w:ascii="Arial Narrow" w:hAnsi="Arial Narrow" w:cs="Arial"/>
          <w:sz w:val="24"/>
          <w:szCs w:val="24"/>
        </w:rPr>
        <w:t xml:space="preserve"> a</w:t>
      </w:r>
      <w:r w:rsidRPr="00CD728B">
        <w:rPr>
          <w:rFonts w:ascii="Arial Narrow" w:hAnsi="Arial Narrow" w:cs="Arial"/>
          <w:sz w:val="24"/>
          <w:szCs w:val="24"/>
        </w:rPr>
        <w:t xml:space="preserve"> las convocatorias de los concursos de oposición. En caso de no haber generado la información se debe fundamentar y motivar las razones.</w:t>
      </w:r>
    </w:p>
    <w:p w:rsidR="008A7753" w:rsidRPr="00CD728B" w:rsidRDefault="008A7753" w:rsidP="008A7753">
      <w:pPr>
        <w:pStyle w:val="Prrafodelista"/>
        <w:spacing w:before="100" w:beforeAutospacing="1" w:after="100" w:afterAutospacing="1" w:line="360" w:lineRule="auto"/>
        <w:jc w:val="both"/>
        <w:rPr>
          <w:rFonts w:ascii="Arial Narrow" w:hAnsi="Arial Narrow" w:cs="Arial"/>
          <w:sz w:val="24"/>
          <w:szCs w:val="24"/>
        </w:rPr>
      </w:pPr>
    </w:p>
    <w:p w:rsidR="008A7753" w:rsidRPr="00CD728B" w:rsidRDefault="00A211E8" w:rsidP="008A7753">
      <w:pPr>
        <w:pStyle w:val="Prrafodelista"/>
        <w:numPr>
          <w:ilvl w:val="0"/>
          <w:numId w:val="10"/>
        </w:numPr>
        <w:spacing w:before="100" w:beforeAutospacing="1" w:after="100" w:afterAutospacing="1" w:line="360" w:lineRule="auto"/>
        <w:jc w:val="both"/>
        <w:rPr>
          <w:rFonts w:ascii="Arial Narrow" w:hAnsi="Arial Narrow" w:cs="Arial"/>
          <w:sz w:val="24"/>
          <w:szCs w:val="24"/>
        </w:rPr>
      </w:pPr>
      <w:r w:rsidRPr="00CD728B">
        <w:rPr>
          <w:rFonts w:ascii="Arial Narrow" w:hAnsi="Arial Narrow" w:cs="Arial"/>
          <w:sz w:val="24"/>
          <w:szCs w:val="24"/>
        </w:rPr>
        <w:t>Fracción IX, con un ICP de 27.08%, sobre la información relativa a los proceso de selección de los consejos. Se deberá publicar y actualizar la información de acuerdo a la normatividad correspondiente. En caso de no haber generado la información se debe fundamentar y motivar las razones.</w:t>
      </w:r>
    </w:p>
    <w:p w:rsidR="008A7753" w:rsidRPr="00CD728B" w:rsidRDefault="008A7753" w:rsidP="008A7753">
      <w:pPr>
        <w:pStyle w:val="Prrafodelista"/>
        <w:spacing w:before="100" w:beforeAutospacing="1" w:after="100" w:afterAutospacing="1" w:line="360" w:lineRule="auto"/>
        <w:jc w:val="both"/>
        <w:rPr>
          <w:rFonts w:ascii="Arial Narrow" w:hAnsi="Arial Narrow" w:cs="Arial"/>
          <w:sz w:val="24"/>
          <w:szCs w:val="24"/>
        </w:rPr>
      </w:pPr>
    </w:p>
    <w:p w:rsidR="008A7753" w:rsidRPr="00CD728B" w:rsidRDefault="00A211E8" w:rsidP="008A7753">
      <w:pPr>
        <w:pStyle w:val="Prrafodelista"/>
        <w:numPr>
          <w:ilvl w:val="0"/>
          <w:numId w:val="10"/>
        </w:numPr>
        <w:spacing w:before="100" w:beforeAutospacing="1" w:after="100" w:afterAutospacing="1" w:line="360" w:lineRule="auto"/>
        <w:jc w:val="both"/>
        <w:rPr>
          <w:rFonts w:ascii="Arial Narrow" w:hAnsi="Arial Narrow" w:cs="Arial"/>
          <w:sz w:val="24"/>
          <w:szCs w:val="24"/>
        </w:rPr>
      </w:pPr>
      <w:r w:rsidRPr="00CD728B">
        <w:rPr>
          <w:rFonts w:ascii="Arial Narrow" w:hAnsi="Arial Narrow" w:cs="Arial"/>
          <w:sz w:val="24"/>
          <w:szCs w:val="24"/>
        </w:rPr>
        <w:t xml:space="preserve">Fracción X, con un ICP de 27.08%, en el que se mandata la publicación de los resultados de las evaluaciones del cuerpo docente. El </w:t>
      </w:r>
      <w:r w:rsidR="005A4A11" w:rsidRPr="00CD728B">
        <w:rPr>
          <w:rFonts w:ascii="Arial Narrow" w:hAnsi="Arial Narrow" w:cs="Arial"/>
          <w:sz w:val="24"/>
          <w:szCs w:val="24"/>
        </w:rPr>
        <w:t>Sujeto Obligado</w:t>
      </w:r>
      <w:r w:rsidRPr="00CD728B">
        <w:rPr>
          <w:rFonts w:ascii="Arial Narrow" w:hAnsi="Arial Narrow" w:cs="Arial"/>
          <w:sz w:val="24"/>
          <w:szCs w:val="24"/>
        </w:rPr>
        <w:t xml:space="preserve"> deberá publicar y actualizar la </w:t>
      </w:r>
      <w:r w:rsidRPr="00CD728B">
        <w:rPr>
          <w:rFonts w:ascii="Arial Narrow" w:hAnsi="Arial Narrow" w:cs="Arial"/>
          <w:sz w:val="24"/>
          <w:szCs w:val="24"/>
        </w:rPr>
        <w:lastRenderedPageBreak/>
        <w:t>información de acuerdo a la normatividad correspondiente</w:t>
      </w:r>
      <w:r w:rsidR="00F21221" w:rsidRPr="00CD728B">
        <w:rPr>
          <w:rFonts w:ascii="Arial Narrow" w:hAnsi="Arial Narrow" w:cs="Arial"/>
          <w:sz w:val="24"/>
          <w:szCs w:val="24"/>
        </w:rPr>
        <w:t>.</w:t>
      </w:r>
      <w:r w:rsidRPr="00CD728B">
        <w:rPr>
          <w:rFonts w:ascii="Arial Narrow" w:hAnsi="Arial Narrow" w:cs="Arial"/>
          <w:sz w:val="24"/>
          <w:szCs w:val="24"/>
        </w:rPr>
        <w:t xml:space="preserve"> En caso de no haberla generado, deberá fundamentar y motivar las razones.</w:t>
      </w:r>
    </w:p>
    <w:p w:rsidR="008A7753" w:rsidRPr="00CD728B" w:rsidRDefault="008A7753" w:rsidP="008A7753">
      <w:pPr>
        <w:pStyle w:val="Prrafodelista"/>
        <w:spacing w:before="100" w:beforeAutospacing="1" w:after="100" w:afterAutospacing="1" w:line="360" w:lineRule="auto"/>
        <w:jc w:val="both"/>
        <w:rPr>
          <w:rFonts w:ascii="Arial Narrow" w:hAnsi="Arial Narrow" w:cs="Arial"/>
          <w:sz w:val="24"/>
          <w:szCs w:val="24"/>
        </w:rPr>
      </w:pPr>
    </w:p>
    <w:p w:rsidR="008A7753" w:rsidRPr="00CD728B" w:rsidRDefault="00A211E8" w:rsidP="008A7753">
      <w:pPr>
        <w:pStyle w:val="Prrafodelista"/>
        <w:numPr>
          <w:ilvl w:val="0"/>
          <w:numId w:val="10"/>
        </w:numPr>
        <w:spacing w:before="100" w:beforeAutospacing="1" w:after="100" w:afterAutospacing="1" w:line="360" w:lineRule="auto"/>
        <w:jc w:val="both"/>
        <w:rPr>
          <w:rFonts w:ascii="Arial Narrow" w:hAnsi="Arial Narrow" w:cs="Arial"/>
          <w:sz w:val="24"/>
          <w:szCs w:val="24"/>
        </w:rPr>
      </w:pPr>
      <w:r w:rsidRPr="00CD728B">
        <w:rPr>
          <w:rFonts w:ascii="Arial Narrow" w:hAnsi="Arial Narrow" w:cs="Arial"/>
          <w:sz w:val="24"/>
          <w:szCs w:val="24"/>
        </w:rPr>
        <w:t xml:space="preserve">Fracción XI, con un ICP de 27.08%, sobre el listado de instituciones incorporadas y requisitos de incorporación. El </w:t>
      </w:r>
      <w:r w:rsidR="005A4A11" w:rsidRPr="00CD728B">
        <w:rPr>
          <w:rFonts w:ascii="Arial Narrow" w:hAnsi="Arial Narrow" w:cs="Arial"/>
          <w:sz w:val="24"/>
          <w:szCs w:val="24"/>
        </w:rPr>
        <w:t>Sujeto Obligado</w:t>
      </w:r>
      <w:r w:rsidRPr="00CD728B">
        <w:rPr>
          <w:rFonts w:ascii="Arial Narrow" w:hAnsi="Arial Narrow" w:cs="Arial"/>
          <w:sz w:val="24"/>
          <w:szCs w:val="24"/>
        </w:rPr>
        <w:t xml:space="preserve"> deberá publicar y actualizar la información de acuerdo a la normatividad correspondiente. En caso de no haberla generado, deberá fundamentar y motivar las razones.</w:t>
      </w:r>
    </w:p>
    <w:p w:rsidR="008A7753" w:rsidRPr="00CD728B" w:rsidRDefault="008A7753" w:rsidP="008A7753">
      <w:pPr>
        <w:pStyle w:val="Prrafodelista"/>
        <w:spacing w:before="100" w:beforeAutospacing="1" w:after="100" w:afterAutospacing="1" w:line="360" w:lineRule="auto"/>
        <w:jc w:val="both"/>
        <w:rPr>
          <w:rFonts w:ascii="Arial Narrow" w:hAnsi="Arial Narrow" w:cs="Arial"/>
          <w:sz w:val="24"/>
          <w:szCs w:val="24"/>
        </w:rPr>
      </w:pPr>
    </w:p>
    <w:p w:rsidR="008A7753" w:rsidRPr="00CD728B" w:rsidRDefault="00A211E8" w:rsidP="008A7753">
      <w:pPr>
        <w:pStyle w:val="Prrafodelista"/>
        <w:numPr>
          <w:ilvl w:val="0"/>
          <w:numId w:val="10"/>
        </w:numPr>
        <w:spacing w:before="100" w:beforeAutospacing="1" w:after="100" w:afterAutospacing="1" w:line="360" w:lineRule="auto"/>
        <w:jc w:val="both"/>
        <w:rPr>
          <w:rFonts w:ascii="Arial Narrow" w:hAnsi="Arial Narrow" w:cs="Arial"/>
          <w:sz w:val="24"/>
          <w:szCs w:val="24"/>
        </w:rPr>
      </w:pPr>
      <w:r w:rsidRPr="00CD728B">
        <w:rPr>
          <w:rFonts w:ascii="Arial Narrow" w:hAnsi="Arial Narrow" w:cs="Arial"/>
          <w:sz w:val="24"/>
          <w:szCs w:val="24"/>
        </w:rPr>
        <w:t xml:space="preserve">Fracción XIII, con un ICP de 27.08%, sobre el calendario del ciclo escolar. El </w:t>
      </w:r>
      <w:r w:rsidR="005A4A11" w:rsidRPr="00CD728B">
        <w:rPr>
          <w:rFonts w:ascii="Arial Narrow" w:hAnsi="Arial Narrow" w:cs="Arial"/>
          <w:sz w:val="24"/>
          <w:szCs w:val="24"/>
        </w:rPr>
        <w:t>Sujeto Obligado</w:t>
      </w:r>
      <w:r w:rsidRPr="00CD728B">
        <w:rPr>
          <w:rFonts w:ascii="Arial Narrow" w:hAnsi="Arial Narrow" w:cs="Arial"/>
          <w:sz w:val="24"/>
          <w:szCs w:val="24"/>
        </w:rPr>
        <w:t xml:space="preserve"> deberá publicar la información correspondiente, en caso no haberla generado indicarlo de manera fundada y motivada en el apartado de notas.</w:t>
      </w:r>
    </w:p>
    <w:p w:rsidR="008A7753" w:rsidRPr="00CD728B" w:rsidRDefault="008A7753" w:rsidP="008A7753">
      <w:pPr>
        <w:pStyle w:val="Prrafodelista"/>
        <w:spacing w:before="100" w:beforeAutospacing="1" w:after="100" w:afterAutospacing="1" w:line="360" w:lineRule="auto"/>
        <w:jc w:val="both"/>
        <w:rPr>
          <w:rFonts w:ascii="Arial Narrow" w:hAnsi="Arial Narrow" w:cs="Arial"/>
          <w:sz w:val="24"/>
          <w:szCs w:val="24"/>
        </w:rPr>
      </w:pPr>
    </w:p>
    <w:p w:rsidR="008A7753" w:rsidRPr="00CD728B" w:rsidRDefault="00A211E8" w:rsidP="008A7753">
      <w:pPr>
        <w:pStyle w:val="Prrafodelista"/>
        <w:numPr>
          <w:ilvl w:val="0"/>
          <w:numId w:val="10"/>
        </w:numPr>
        <w:spacing w:before="100" w:beforeAutospacing="1" w:after="100" w:afterAutospacing="1" w:line="360" w:lineRule="auto"/>
        <w:jc w:val="both"/>
        <w:rPr>
          <w:rFonts w:ascii="Arial Narrow" w:hAnsi="Arial Narrow" w:cs="Arial"/>
          <w:sz w:val="24"/>
          <w:szCs w:val="24"/>
        </w:rPr>
      </w:pPr>
      <w:r w:rsidRPr="00CD728B">
        <w:rPr>
          <w:rFonts w:ascii="Arial Narrow" w:hAnsi="Arial Narrow" w:cs="Arial"/>
          <w:sz w:val="24"/>
          <w:szCs w:val="24"/>
        </w:rPr>
        <w:t>Fracción IV, con un ICP de 50%, en el cual se mandata la publicación de una lista de los profesores con licencia o en año sabático. Se deberá publicar la información correspondiente, en caso no haberla generado, indicarlo en el apartado de notas de manera fundada y motivada.</w:t>
      </w:r>
    </w:p>
    <w:p w:rsidR="008A7753" w:rsidRPr="00CD728B" w:rsidRDefault="008A7753" w:rsidP="008A7753">
      <w:pPr>
        <w:pStyle w:val="Prrafodelista"/>
        <w:spacing w:before="100" w:beforeAutospacing="1" w:after="100" w:afterAutospacing="1" w:line="360" w:lineRule="auto"/>
        <w:jc w:val="both"/>
        <w:rPr>
          <w:rFonts w:ascii="Arial Narrow" w:hAnsi="Arial Narrow" w:cs="Arial"/>
          <w:sz w:val="24"/>
          <w:szCs w:val="24"/>
        </w:rPr>
      </w:pPr>
    </w:p>
    <w:p w:rsidR="00A211E8" w:rsidRPr="00CD728B" w:rsidRDefault="00A211E8" w:rsidP="002E7D47">
      <w:pPr>
        <w:pStyle w:val="Prrafodelista"/>
        <w:numPr>
          <w:ilvl w:val="0"/>
          <w:numId w:val="10"/>
        </w:numPr>
        <w:spacing w:before="100" w:beforeAutospacing="1" w:after="100" w:afterAutospacing="1" w:line="360" w:lineRule="auto"/>
        <w:jc w:val="both"/>
        <w:rPr>
          <w:rFonts w:ascii="Arial Narrow" w:hAnsi="Arial Narrow" w:cs="Arial"/>
          <w:sz w:val="24"/>
          <w:szCs w:val="24"/>
        </w:rPr>
      </w:pPr>
      <w:r w:rsidRPr="00CD728B">
        <w:rPr>
          <w:rFonts w:ascii="Arial Narrow" w:hAnsi="Arial Narrow" w:cs="Arial"/>
          <w:sz w:val="24"/>
          <w:szCs w:val="24"/>
        </w:rPr>
        <w:t xml:space="preserve">Fracción XII, con un ICP de 50%, respecto del número de estudiantes que egresan por ciclo escolar o por </w:t>
      </w:r>
      <w:r w:rsidR="008A7753" w:rsidRPr="00CD728B">
        <w:rPr>
          <w:rFonts w:ascii="Arial Narrow" w:hAnsi="Arial Narrow" w:cs="Arial"/>
          <w:sz w:val="24"/>
          <w:szCs w:val="24"/>
        </w:rPr>
        <w:t>planteles</w:t>
      </w:r>
      <w:r w:rsidRPr="00CD728B">
        <w:rPr>
          <w:rFonts w:ascii="Arial Narrow" w:hAnsi="Arial Narrow" w:cs="Arial"/>
          <w:sz w:val="24"/>
          <w:szCs w:val="24"/>
        </w:rPr>
        <w:t xml:space="preserve">. El </w:t>
      </w:r>
      <w:r w:rsidR="005A4A11" w:rsidRPr="00CD728B">
        <w:rPr>
          <w:rFonts w:ascii="Arial Narrow" w:hAnsi="Arial Narrow" w:cs="Arial"/>
          <w:sz w:val="24"/>
          <w:szCs w:val="24"/>
        </w:rPr>
        <w:t>Sujeto Obligado</w:t>
      </w:r>
      <w:r w:rsidRPr="00CD728B">
        <w:rPr>
          <w:rFonts w:ascii="Arial Narrow" w:hAnsi="Arial Narrow" w:cs="Arial"/>
          <w:sz w:val="24"/>
          <w:szCs w:val="24"/>
        </w:rPr>
        <w:t xml:space="preserve"> deberá publicar la información correspondiente, en caso no haberla generado indicarlo de manera fundada y motivada en el apartado de notas.</w:t>
      </w:r>
    </w:p>
    <w:p w:rsidR="008A7753" w:rsidRPr="00CD728B" w:rsidRDefault="00A211E8"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 xml:space="preserve">La única fracción con un cumplimiento parcial fue la VI con un ICP de 81.94%, respecto de la remuneración de los profesores, incluyendo los estímulos al desempeño, nivel y monto. El </w:t>
      </w:r>
      <w:r w:rsidR="005A4A11" w:rsidRPr="00CD728B">
        <w:rPr>
          <w:rFonts w:ascii="Arial Narrow" w:hAnsi="Arial Narrow" w:cs="Arial"/>
          <w:sz w:val="24"/>
          <w:szCs w:val="24"/>
        </w:rPr>
        <w:t>Sujeto Obligado</w:t>
      </w:r>
      <w:r w:rsidRPr="00CD728B">
        <w:rPr>
          <w:rFonts w:ascii="Arial Narrow" w:hAnsi="Arial Narrow" w:cs="Arial"/>
          <w:sz w:val="24"/>
          <w:szCs w:val="24"/>
        </w:rPr>
        <w:t xml:space="preserve"> deberá actualizar la fracción conforme a la normatividad vigente.</w:t>
      </w:r>
    </w:p>
    <w:p w:rsidR="008A7753" w:rsidRPr="00CD728B" w:rsidRDefault="008A7753" w:rsidP="002E7D47">
      <w:pPr>
        <w:spacing w:before="100" w:beforeAutospacing="1" w:after="100" w:afterAutospacing="1" w:line="360" w:lineRule="auto"/>
        <w:contextualSpacing/>
        <w:jc w:val="both"/>
        <w:rPr>
          <w:rFonts w:ascii="Arial Narrow" w:hAnsi="Arial Narrow" w:cs="Arial"/>
          <w:sz w:val="24"/>
          <w:szCs w:val="24"/>
        </w:rPr>
      </w:pPr>
    </w:p>
    <w:p w:rsidR="008A7753" w:rsidRPr="00CD728B" w:rsidRDefault="00A211E8" w:rsidP="008A7753">
      <w:pPr>
        <w:pStyle w:val="Ttulo3"/>
        <w:numPr>
          <w:ilvl w:val="1"/>
          <w:numId w:val="26"/>
        </w:numPr>
        <w:contextualSpacing/>
        <w:jc w:val="both"/>
        <w:rPr>
          <w:rFonts w:ascii="Arial Narrow" w:hAnsi="Arial Narrow"/>
          <w:b/>
          <w:color w:val="auto"/>
        </w:rPr>
      </w:pPr>
      <w:bookmarkStart w:id="71" w:name="_Toc14293772"/>
      <w:r w:rsidRPr="00CD728B">
        <w:rPr>
          <w:rFonts w:ascii="Arial Narrow" w:hAnsi="Arial Narrow"/>
          <w:b/>
          <w:color w:val="auto"/>
        </w:rPr>
        <w:lastRenderedPageBreak/>
        <w:t xml:space="preserve">Análisis del </w:t>
      </w:r>
      <w:r w:rsidR="009D7771">
        <w:rPr>
          <w:rFonts w:ascii="Arial Narrow" w:hAnsi="Arial Narrow"/>
          <w:b/>
          <w:color w:val="auto"/>
        </w:rPr>
        <w:t>Artículo</w:t>
      </w:r>
      <w:r w:rsidRPr="00CD728B">
        <w:rPr>
          <w:rFonts w:ascii="Arial Narrow" w:hAnsi="Arial Narrow"/>
          <w:b/>
          <w:color w:val="auto"/>
        </w:rPr>
        <w:t xml:space="preserve"> 137 y sus respectivas fracciones, sobre la Junta Local de Conciliación y Arbitraje</w:t>
      </w:r>
      <w:bookmarkEnd w:id="71"/>
    </w:p>
    <w:p w:rsidR="008A7753" w:rsidRPr="00CD728B" w:rsidRDefault="008A7753" w:rsidP="008A7753">
      <w:pPr>
        <w:rPr>
          <w:rFonts w:ascii="Arial Narrow" w:hAnsi="Arial Narrow"/>
        </w:rPr>
      </w:pPr>
    </w:p>
    <w:p w:rsidR="00A211E8" w:rsidRPr="00CD728B" w:rsidRDefault="00A211E8"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 xml:space="preserve">La Junta Local de Conciliación y Arbitraje obtuvo un ICP de 48%; por lo que se encuentra dentro del área de incumplimiento parcial. La fracción que tiene mayor área de oportunidad, ya que se colocó en un incumplimiento parcial de 56.25%, es la siguiente:  </w:t>
      </w:r>
    </w:p>
    <w:p w:rsidR="00A211E8" w:rsidRPr="00CD728B" w:rsidRDefault="00A211E8" w:rsidP="002E7D47">
      <w:pPr>
        <w:pStyle w:val="Prrafodelista"/>
        <w:numPr>
          <w:ilvl w:val="0"/>
          <w:numId w:val="12"/>
        </w:numPr>
        <w:spacing w:before="100" w:beforeAutospacing="1" w:after="100" w:afterAutospacing="1" w:line="360" w:lineRule="auto"/>
        <w:jc w:val="both"/>
        <w:rPr>
          <w:rFonts w:ascii="Arial Narrow" w:hAnsi="Arial Narrow" w:cs="Arial"/>
          <w:sz w:val="24"/>
          <w:szCs w:val="24"/>
          <w:lang w:val="es-ES_tradnl"/>
        </w:rPr>
      </w:pPr>
      <w:r w:rsidRPr="00CD728B">
        <w:rPr>
          <w:rFonts w:ascii="Arial Narrow" w:hAnsi="Arial Narrow" w:cs="Arial"/>
          <w:sz w:val="24"/>
          <w:szCs w:val="24"/>
        </w:rPr>
        <w:t xml:space="preserve">Fracción VI, con un ICP de 56.25%, respecto de las actas de asamblea; el </w:t>
      </w:r>
      <w:r w:rsidR="005A4A11" w:rsidRPr="00CD728B">
        <w:rPr>
          <w:rFonts w:ascii="Arial Narrow" w:hAnsi="Arial Narrow" w:cs="Arial"/>
          <w:sz w:val="24"/>
          <w:szCs w:val="24"/>
        </w:rPr>
        <w:t>Sujeto Obligado</w:t>
      </w:r>
      <w:r w:rsidRPr="00CD728B">
        <w:rPr>
          <w:rFonts w:ascii="Arial Narrow" w:hAnsi="Arial Narrow" w:cs="Arial"/>
          <w:sz w:val="24"/>
          <w:szCs w:val="24"/>
        </w:rPr>
        <w:t xml:space="preserve"> deberá </w:t>
      </w:r>
      <w:r w:rsidRPr="00CD728B">
        <w:rPr>
          <w:rFonts w:ascii="Arial Narrow" w:hAnsi="Arial Narrow" w:cs="Arial"/>
          <w:sz w:val="24"/>
          <w:szCs w:val="24"/>
          <w:lang w:val="es-ES_tradnl"/>
        </w:rPr>
        <w:t>actualizar y conservar la información conforme a la normatividad vigente.</w:t>
      </w:r>
    </w:p>
    <w:p w:rsidR="008A7753" w:rsidRPr="00CD728B" w:rsidRDefault="008A7753" w:rsidP="008A7753">
      <w:pPr>
        <w:pStyle w:val="Prrafodelista"/>
        <w:spacing w:before="100" w:beforeAutospacing="1" w:after="100" w:afterAutospacing="1" w:line="360" w:lineRule="auto"/>
        <w:jc w:val="both"/>
        <w:rPr>
          <w:rFonts w:ascii="Arial Narrow" w:hAnsi="Arial Narrow" w:cs="Arial"/>
          <w:sz w:val="24"/>
          <w:szCs w:val="24"/>
          <w:lang w:val="es-ES_tradnl"/>
        </w:rPr>
      </w:pPr>
    </w:p>
    <w:p w:rsidR="008A7753" w:rsidRPr="00CD728B" w:rsidRDefault="00A211E8"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 xml:space="preserve">Por su parte, las fracciones I a V y VII a X cumplimiento parcialmente, obteniendo un ICP de 62.50%, por lo que el área oportunidad consiste en </w:t>
      </w:r>
      <w:r w:rsidR="008A7753" w:rsidRPr="00CD728B">
        <w:rPr>
          <w:rFonts w:ascii="Arial Narrow" w:hAnsi="Arial Narrow" w:cs="Arial"/>
          <w:sz w:val="24"/>
          <w:szCs w:val="24"/>
        </w:rPr>
        <w:t xml:space="preserve">que </w:t>
      </w:r>
      <w:r w:rsidRPr="00CD728B">
        <w:rPr>
          <w:rFonts w:ascii="Arial Narrow" w:hAnsi="Arial Narrow" w:cs="Arial"/>
          <w:sz w:val="24"/>
          <w:szCs w:val="24"/>
        </w:rPr>
        <w:t>deberá actualizar y conservar la información conforme a la normatividad vigente.</w:t>
      </w:r>
    </w:p>
    <w:p w:rsidR="008A7753" w:rsidRPr="00CD728B" w:rsidRDefault="008A7753" w:rsidP="002E7D47">
      <w:pPr>
        <w:spacing w:before="100" w:beforeAutospacing="1" w:after="100" w:afterAutospacing="1" w:line="360" w:lineRule="auto"/>
        <w:contextualSpacing/>
        <w:jc w:val="both"/>
        <w:rPr>
          <w:rFonts w:ascii="Arial Narrow" w:hAnsi="Arial Narrow" w:cs="Arial"/>
          <w:sz w:val="24"/>
          <w:szCs w:val="24"/>
        </w:rPr>
      </w:pPr>
    </w:p>
    <w:p w:rsidR="00A211E8" w:rsidRPr="00CD728B" w:rsidRDefault="00A211E8" w:rsidP="002E7D47">
      <w:pPr>
        <w:pStyle w:val="Ttulo3"/>
        <w:numPr>
          <w:ilvl w:val="1"/>
          <w:numId w:val="26"/>
        </w:numPr>
        <w:contextualSpacing/>
        <w:jc w:val="both"/>
        <w:rPr>
          <w:rFonts w:ascii="Arial Narrow" w:hAnsi="Arial Narrow"/>
          <w:b/>
          <w:color w:val="auto"/>
        </w:rPr>
      </w:pPr>
      <w:bookmarkStart w:id="72" w:name="_Toc14293773"/>
      <w:r w:rsidRPr="00CD728B">
        <w:rPr>
          <w:rFonts w:ascii="Arial Narrow" w:hAnsi="Arial Narrow"/>
          <w:b/>
          <w:color w:val="auto"/>
        </w:rPr>
        <w:t xml:space="preserve">Análisis del </w:t>
      </w:r>
      <w:r w:rsidR="009D7771">
        <w:rPr>
          <w:rFonts w:ascii="Arial Narrow" w:hAnsi="Arial Narrow"/>
          <w:b/>
          <w:color w:val="auto"/>
        </w:rPr>
        <w:t>Artículo</w:t>
      </w:r>
      <w:r w:rsidRPr="00CD728B">
        <w:rPr>
          <w:rFonts w:ascii="Arial Narrow" w:hAnsi="Arial Narrow"/>
          <w:b/>
          <w:color w:val="auto"/>
        </w:rPr>
        <w:t xml:space="preserve"> 143</w:t>
      </w:r>
      <w:bookmarkEnd w:id="72"/>
    </w:p>
    <w:p w:rsidR="008A7753" w:rsidRPr="00CD728B" w:rsidRDefault="008A7753" w:rsidP="008A7753">
      <w:pPr>
        <w:rPr>
          <w:rFonts w:ascii="Arial Narrow" w:hAnsi="Arial Narrow"/>
        </w:rPr>
      </w:pPr>
    </w:p>
    <w:p w:rsidR="00A211E8" w:rsidRPr="00CD728B" w:rsidRDefault="00A211E8" w:rsidP="002E7D47">
      <w:pPr>
        <w:spacing w:before="100" w:beforeAutospacing="1" w:after="100" w:afterAutospacing="1" w:line="360" w:lineRule="auto"/>
        <w:contextualSpacing/>
        <w:jc w:val="both"/>
        <w:rPr>
          <w:rFonts w:ascii="Arial Narrow" w:hAnsi="Arial Narrow" w:cs="Arial"/>
          <w:bCs/>
          <w:sz w:val="24"/>
          <w:szCs w:val="24"/>
        </w:rPr>
      </w:pPr>
      <w:r w:rsidRPr="00CD728B">
        <w:rPr>
          <w:rFonts w:ascii="Arial Narrow" w:hAnsi="Arial Narrow" w:cs="Arial"/>
          <w:sz w:val="24"/>
          <w:szCs w:val="24"/>
        </w:rPr>
        <w:t xml:space="preserve">Los órganos autónomos obtuvieron un ICP en este </w:t>
      </w:r>
      <w:r w:rsidR="009D7771">
        <w:rPr>
          <w:rFonts w:ascii="Arial Narrow" w:hAnsi="Arial Narrow" w:cs="Arial"/>
          <w:sz w:val="24"/>
          <w:szCs w:val="24"/>
        </w:rPr>
        <w:t>Artículo</w:t>
      </w:r>
      <w:r w:rsidRPr="00CD728B">
        <w:rPr>
          <w:rFonts w:ascii="Arial Narrow" w:hAnsi="Arial Narrow" w:cs="Arial"/>
          <w:sz w:val="24"/>
          <w:szCs w:val="24"/>
        </w:rPr>
        <w:t xml:space="preserve"> de 93.19%, por lo que se encuentra dentro del área de cumplimiento parcial, seis</w:t>
      </w:r>
      <w:r w:rsidRPr="00CD728B">
        <w:rPr>
          <w:rStyle w:val="Refdenotaalpie"/>
          <w:rFonts w:ascii="Arial Narrow" w:hAnsi="Arial Narrow" w:cs="Arial"/>
          <w:sz w:val="24"/>
          <w:szCs w:val="24"/>
        </w:rPr>
        <w:footnoteReference w:id="56"/>
      </w:r>
      <w:r w:rsidRPr="00CD728B">
        <w:rPr>
          <w:rFonts w:ascii="Arial Narrow" w:hAnsi="Arial Narrow" w:cs="Arial"/>
          <w:sz w:val="24"/>
          <w:szCs w:val="24"/>
        </w:rPr>
        <w:t xml:space="preserve">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obtuvieron un cumplimiento total y solamente la Universidad Autónoma de la Ciudad de México tuvo un incumplimiento parcial.</w:t>
      </w:r>
      <w:r w:rsidRPr="00CD728B">
        <w:rPr>
          <w:rFonts w:ascii="Arial Narrow" w:hAnsi="Arial Narrow" w:cs="Arial"/>
          <w:bCs/>
          <w:sz w:val="24"/>
          <w:szCs w:val="24"/>
        </w:rPr>
        <w:t xml:space="preserve"> </w:t>
      </w:r>
      <w:r w:rsidRPr="00CD728B">
        <w:rPr>
          <w:rFonts w:ascii="Arial Narrow" w:hAnsi="Arial Narrow" w:cs="Arial"/>
          <w:sz w:val="24"/>
          <w:szCs w:val="24"/>
        </w:rPr>
        <w:t>En atención a lo anterior, las áreas de oportunidad consisten en la actualización y conservación de la información conforme a la normatividad correspondiente.</w:t>
      </w:r>
    </w:p>
    <w:p w:rsidR="00A211E8" w:rsidRPr="00CD728B" w:rsidRDefault="002B784C" w:rsidP="002E7D47">
      <w:pPr>
        <w:pStyle w:val="Ttulo3"/>
        <w:numPr>
          <w:ilvl w:val="1"/>
          <w:numId w:val="26"/>
        </w:numPr>
        <w:contextualSpacing/>
        <w:jc w:val="both"/>
        <w:rPr>
          <w:rFonts w:ascii="Arial Narrow" w:hAnsi="Arial Narrow"/>
          <w:b/>
          <w:color w:val="auto"/>
        </w:rPr>
      </w:pPr>
      <w:r w:rsidRPr="00CD728B">
        <w:rPr>
          <w:rFonts w:ascii="Arial Narrow" w:hAnsi="Arial Narrow"/>
          <w:b/>
          <w:color w:val="auto"/>
        </w:rPr>
        <w:t xml:space="preserve"> </w:t>
      </w:r>
      <w:bookmarkStart w:id="73" w:name="_Toc14293774"/>
      <w:r w:rsidR="00A211E8" w:rsidRPr="00CD728B">
        <w:rPr>
          <w:rFonts w:ascii="Arial Narrow" w:hAnsi="Arial Narrow"/>
          <w:b/>
          <w:color w:val="auto"/>
        </w:rPr>
        <w:t xml:space="preserve">Análisis del </w:t>
      </w:r>
      <w:r w:rsidR="009D7771">
        <w:rPr>
          <w:rFonts w:ascii="Arial Narrow" w:hAnsi="Arial Narrow"/>
          <w:b/>
          <w:color w:val="auto"/>
        </w:rPr>
        <w:t>Artículo</w:t>
      </w:r>
      <w:r w:rsidR="00A211E8" w:rsidRPr="00CD728B">
        <w:rPr>
          <w:rFonts w:ascii="Arial Narrow" w:hAnsi="Arial Narrow"/>
          <w:b/>
          <w:color w:val="auto"/>
        </w:rPr>
        <w:t xml:space="preserve"> 145</w:t>
      </w:r>
      <w:bookmarkEnd w:id="73"/>
    </w:p>
    <w:p w:rsidR="008A7753" w:rsidRPr="00CD728B" w:rsidRDefault="008A7753" w:rsidP="008A7753">
      <w:pPr>
        <w:rPr>
          <w:rFonts w:ascii="Arial Narrow" w:hAnsi="Arial Narrow"/>
        </w:rPr>
      </w:pPr>
    </w:p>
    <w:p w:rsidR="00A211E8" w:rsidRPr="00CD728B" w:rsidRDefault="00A211E8"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lastRenderedPageBreak/>
        <w:t xml:space="preserve">En lo que respecta a este </w:t>
      </w:r>
      <w:r w:rsidR="009D7771">
        <w:rPr>
          <w:rFonts w:ascii="Arial Narrow" w:hAnsi="Arial Narrow" w:cs="Arial"/>
          <w:sz w:val="24"/>
          <w:szCs w:val="24"/>
        </w:rPr>
        <w:t>Artículo</w:t>
      </w:r>
      <w:r w:rsidRPr="00CD728B">
        <w:rPr>
          <w:rFonts w:ascii="Arial Narrow" w:hAnsi="Arial Narrow" w:cs="Arial"/>
          <w:sz w:val="24"/>
          <w:szCs w:val="24"/>
        </w:rPr>
        <w:t xml:space="preserve">, en este ámbito se obtuvo un ICP de 100%; lo anterior en atención a que los siete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cumplieron cabalmente con una señalización fácilmente identificable y accesible que permita a la ciudadanía ingresar al sitio de transparencia.</w:t>
      </w:r>
    </w:p>
    <w:p w:rsidR="008A7753" w:rsidRPr="00CD728B" w:rsidRDefault="008A7753" w:rsidP="002E7D47">
      <w:pPr>
        <w:spacing w:before="100" w:beforeAutospacing="1" w:after="100" w:afterAutospacing="1" w:line="360" w:lineRule="auto"/>
        <w:contextualSpacing/>
        <w:jc w:val="both"/>
        <w:rPr>
          <w:rFonts w:ascii="Arial Narrow" w:hAnsi="Arial Narrow" w:cs="Arial"/>
          <w:sz w:val="24"/>
          <w:szCs w:val="24"/>
        </w:rPr>
      </w:pPr>
    </w:p>
    <w:p w:rsidR="00A211E8" w:rsidRPr="00CD728B" w:rsidRDefault="00A211E8" w:rsidP="002E7D47">
      <w:pPr>
        <w:pStyle w:val="Ttulo3"/>
        <w:numPr>
          <w:ilvl w:val="1"/>
          <w:numId w:val="26"/>
        </w:numPr>
        <w:contextualSpacing/>
        <w:jc w:val="both"/>
        <w:rPr>
          <w:rFonts w:ascii="Arial Narrow" w:hAnsi="Arial Narrow"/>
          <w:b/>
          <w:color w:val="auto"/>
        </w:rPr>
      </w:pPr>
      <w:bookmarkStart w:id="74" w:name="_Toc14293775"/>
      <w:r w:rsidRPr="00CD728B">
        <w:rPr>
          <w:rFonts w:ascii="Arial Narrow" w:hAnsi="Arial Narrow"/>
          <w:b/>
          <w:color w:val="auto"/>
        </w:rPr>
        <w:t xml:space="preserve">Análisis del </w:t>
      </w:r>
      <w:r w:rsidR="009D7771">
        <w:rPr>
          <w:rFonts w:ascii="Arial Narrow" w:hAnsi="Arial Narrow"/>
          <w:b/>
          <w:color w:val="auto"/>
        </w:rPr>
        <w:t>Artículo</w:t>
      </w:r>
      <w:r w:rsidRPr="00CD728B">
        <w:rPr>
          <w:rFonts w:ascii="Arial Narrow" w:hAnsi="Arial Narrow"/>
          <w:b/>
          <w:color w:val="auto"/>
        </w:rPr>
        <w:t xml:space="preserve"> 146</w:t>
      </w:r>
      <w:bookmarkEnd w:id="74"/>
    </w:p>
    <w:p w:rsidR="00A211E8" w:rsidRPr="00CD728B" w:rsidRDefault="00A211E8" w:rsidP="002E7D47">
      <w:pPr>
        <w:spacing w:before="100" w:beforeAutospacing="1" w:after="100" w:afterAutospacing="1" w:line="360" w:lineRule="auto"/>
        <w:contextualSpacing/>
        <w:jc w:val="both"/>
        <w:rPr>
          <w:rFonts w:ascii="Arial Narrow" w:hAnsi="Arial Narrow" w:cs="Arial"/>
          <w:b/>
          <w:bCs/>
          <w:sz w:val="24"/>
          <w:szCs w:val="24"/>
        </w:rPr>
      </w:pPr>
      <w:r w:rsidRPr="00CD728B">
        <w:rPr>
          <w:rFonts w:ascii="Arial Narrow" w:hAnsi="Arial Narrow"/>
          <w:noProof/>
          <w:sz w:val="24"/>
          <w:szCs w:val="24"/>
          <w:lang w:val="es-MX" w:eastAsia="es-MX"/>
        </w:rPr>
        <w:drawing>
          <wp:inline distT="0" distB="0" distL="0" distR="0" wp14:anchorId="0D26C0C0" wp14:editId="22BD34BB">
            <wp:extent cx="5581816" cy="2743200"/>
            <wp:effectExtent l="0" t="0" r="0" b="0"/>
            <wp:docPr id="40" name="Gráfico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A211E8" w:rsidRPr="00CD728B" w:rsidRDefault="00A211E8"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 xml:space="preserve">En este </w:t>
      </w:r>
      <w:r w:rsidR="009D7771">
        <w:rPr>
          <w:rFonts w:ascii="Arial Narrow" w:hAnsi="Arial Narrow" w:cs="Arial"/>
          <w:sz w:val="24"/>
          <w:szCs w:val="24"/>
        </w:rPr>
        <w:t>Artículo</w:t>
      </w:r>
      <w:r w:rsidRPr="00CD728B">
        <w:rPr>
          <w:rFonts w:ascii="Arial Narrow" w:hAnsi="Arial Narrow" w:cs="Arial"/>
          <w:sz w:val="24"/>
          <w:szCs w:val="24"/>
        </w:rPr>
        <w:t xml:space="preserve"> obtuvieron un ICP de 88.75%; debido a que cuatro</w:t>
      </w:r>
      <w:r w:rsidRPr="00CD728B">
        <w:rPr>
          <w:rStyle w:val="Refdenotaalpie"/>
          <w:rFonts w:ascii="Arial Narrow" w:hAnsi="Arial Narrow" w:cs="Arial"/>
          <w:sz w:val="24"/>
          <w:szCs w:val="24"/>
        </w:rPr>
        <w:footnoteReference w:id="57"/>
      </w:r>
      <w:r w:rsidRPr="00CD728B">
        <w:rPr>
          <w:rFonts w:ascii="Arial Narrow" w:hAnsi="Arial Narrow" w:cs="Arial"/>
          <w:sz w:val="24"/>
          <w:szCs w:val="24"/>
        </w:rPr>
        <w:t xml:space="preserve"> cumplieron totalmente, dos</w:t>
      </w:r>
      <w:r w:rsidRPr="00CD728B">
        <w:rPr>
          <w:rStyle w:val="Refdenotaalpie"/>
          <w:rFonts w:ascii="Arial Narrow" w:hAnsi="Arial Narrow" w:cs="Arial"/>
          <w:sz w:val="24"/>
          <w:szCs w:val="24"/>
        </w:rPr>
        <w:footnoteReference w:id="58"/>
      </w:r>
      <w:r w:rsidRPr="00CD728B">
        <w:rPr>
          <w:rFonts w:ascii="Arial Narrow" w:hAnsi="Arial Narrow" w:cs="Arial"/>
          <w:sz w:val="24"/>
          <w:szCs w:val="24"/>
        </w:rPr>
        <w:t xml:space="preserve"> cumplieron parcialmente con un resultado entre 75% y 96.25% y la Junta Local de Conciliación y Arbitraje del Distrito Federal incumplió parcialmente con un ICP de 50%. Al respecto, el área de oportunidad consiste en que los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publiquen sus calendarios de actualización de sus obligaciones de transparencia y tengan precaución respecto de las fechas que señalan, puesto que no atienden a lo establecido en la Ley de Transparencia y en la Tabla de Conservación de los Lineamientos y Metodología de Evaluación. </w:t>
      </w:r>
    </w:p>
    <w:p w:rsidR="008A7753" w:rsidRPr="00CD728B" w:rsidRDefault="008A7753" w:rsidP="002E7D47">
      <w:pPr>
        <w:spacing w:before="100" w:beforeAutospacing="1" w:after="100" w:afterAutospacing="1" w:line="360" w:lineRule="auto"/>
        <w:contextualSpacing/>
        <w:jc w:val="both"/>
        <w:rPr>
          <w:rFonts w:ascii="Arial Narrow" w:hAnsi="Arial Narrow" w:cs="Arial"/>
          <w:sz w:val="24"/>
          <w:szCs w:val="24"/>
        </w:rPr>
      </w:pPr>
    </w:p>
    <w:p w:rsidR="00A211E8" w:rsidRPr="00CD728B" w:rsidRDefault="00A211E8" w:rsidP="002E7D47">
      <w:pPr>
        <w:spacing w:before="100" w:beforeAutospacing="1" w:after="100" w:afterAutospacing="1" w:line="360" w:lineRule="auto"/>
        <w:contextualSpacing/>
        <w:jc w:val="both"/>
        <w:rPr>
          <w:rFonts w:ascii="Arial Narrow" w:hAnsi="Arial Narrow" w:cs="Arial"/>
          <w:b/>
          <w:bCs/>
          <w:sz w:val="24"/>
          <w:szCs w:val="24"/>
        </w:rPr>
      </w:pPr>
      <w:r w:rsidRPr="00CD728B">
        <w:rPr>
          <w:rFonts w:ascii="Arial Narrow" w:hAnsi="Arial Narrow" w:cs="Arial"/>
          <w:b/>
          <w:bCs/>
          <w:sz w:val="24"/>
          <w:szCs w:val="24"/>
        </w:rPr>
        <w:t xml:space="preserve">Análisis del </w:t>
      </w:r>
      <w:r w:rsidR="009D7771">
        <w:rPr>
          <w:rFonts w:ascii="Arial Narrow" w:hAnsi="Arial Narrow" w:cs="Arial"/>
          <w:b/>
          <w:bCs/>
          <w:sz w:val="24"/>
          <w:szCs w:val="24"/>
        </w:rPr>
        <w:t>Artículo</w:t>
      </w:r>
      <w:r w:rsidRPr="00CD728B">
        <w:rPr>
          <w:rFonts w:ascii="Arial Narrow" w:hAnsi="Arial Narrow" w:cs="Arial"/>
          <w:b/>
          <w:bCs/>
          <w:sz w:val="24"/>
          <w:szCs w:val="24"/>
        </w:rPr>
        <w:t xml:space="preserve"> 147 </w:t>
      </w:r>
    </w:p>
    <w:p w:rsidR="00A211E8" w:rsidRPr="00CD728B" w:rsidRDefault="00A211E8" w:rsidP="002E7D47">
      <w:pPr>
        <w:spacing w:before="100" w:beforeAutospacing="1" w:after="100" w:afterAutospacing="1" w:line="360" w:lineRule="auto"/>
        <w:contextualSpacing/>
        <w:jc w:val="both"/>
        <w:rPr>
          <w:rFonts w:ascii="Arial Narrow" w:hAnsi="Arial Narrow" w:cs="Arial"/>
          <w:b/>
          <w:bCs/>
          <w:sz w:val="24"/>
          <w:szCs w:val="24"/>
        </w:rPr>
      </w:pPr>
      <w:r w:rsidRPr="00CD728B">
        <w:rPr>
          <w:rFonts w:ascii="Arial Narrow" w:hAnsi="Arial Narrow"/>
          <w:noProof/>
          <w:sz w:val="24"/>
          <w:szCs w:val="24"/>
          <w:lang w:val="es-MX" w:eastAsia="es-MX"/>
        </w:rPr>
        <w:drawing>
          <wp:inline distT="0" distB="0" distL="0" distR="0" wp14:anchorId="4F9CBF80" wp14:editId="4B6B7BF9">
            <wp:extent cx="5550011" cy="2743200"/>
            <wp:effectExtent l="0" t="0" r="12700" b="0"/>
            <wp:docPr id="41" name="Gráfico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8A7753" w:rsidRPr="00CD728B" w:rsidRDefault="008A7753" w:rsidP="002E7D47">
      <w:pPr>
        <w:spacing w:before="100" w:beforeAutospacing="1" w:after="100" w:afterAutospacing="1" w:line="360" w:lineRule="auto"/>
        <w:contextualSpacing/>
        <w:jc w:val="both"/>
        <w:rPr>
          <w:rFonts w:ascii="Arial Narrow" w:hAnsi="Arial Narrow" w:cs="Arial"/>
          <w:sz w:val="24"/>
          <w:szCs w:val="24"/>
        </w:rPr>
      </w:pPr>
    </w:p>
    <w:p w:rsidR="00A211E8" w:rsidRPr="00CD728B" w:rsidRDefault="00A211E8"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 xml:space="preserve">Por último, los órganos autónomos obtuvieron un ICP de </w:t>
      </w:r>
      <w:r w:rsidR="00F21221" w:rsidRPr="00CD728B">
        <w:rPr>
          <w:rFonts w:ascii="Arial Narrow" w:hAnsi="Arial Narrow" w:cs="Arial"/>
          <w:sz w:val="24"/>
          <w:szCs w:val="24"/>
        </w:rPr>
        <w:t>88.88</w:t>
      </w:r>
      <w:r w:rsidRPr="00CD728B">
        <w:rPr>
          <w:rFonts w:ascii="Arial Narrow" w:hAnsi="Arial Narrow" w:cs="Arial"/>
          <w:sz w:val="24"/>
          <w:szCs w:val="24"/>
        </w:rPr>
        <w:t>%; debido a que cinco</w:t>
      </w:r>
      <w:r w:rsidRPr="00CD728B">
        <w:rPr>
          <w:rStyle w:val="Refdenotaalpie"/>
          <w:rFonts w:ascii="Arial Narrow" w:hAnsi="Arial Narrow" w:cs="Arial"/>
          <w:sz w:val="24"/>
          <w:szCs w:val="24"/>
        </w:rPr>
        <w:footnoteReference w:id="59"/>
      </w:r>
      <w:r w:rsidRPr="00CD728B">
        <w:rPr>
          <w:rFonts w:ascii="Arial Narrow" w:hAnsi="Arial Narrow" w:cs="Arial"/>
          <w:sz w:val="24"/>
          <w:szCs w:val="24"/>
        </w:rPr>
        <w:t xml:space="preserve">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tuvieron un cumplimiento total, la Comisión de Derechos Humanos del Distrito Federal tuvo cumplimiento parcial de 94.29% y la Universidad Autónoma de la Ciudad de México incumplimiento parcial de 27.86%. </w:t>
      </w:r>
    </w:p>
    <w:p w:rsidR="008A7753" w:rsidRPr="00CD728B" w:rsidRDefault="008A7753" w:rsidP="002E7D47">
      <w:pPr>
        <w:spacing w:before="100" w:beforeAutospacing="1" w:after="100" w:afterAutospacing="1" w:line="360" w:lineRule="auto"/>
        <w:contextualSpacing/>
        <w:jc w:val="both"/>
        <w:rPr>
          <w:rFonts w:ascii="Arial Narrow" w:hAnsi="Arial Narrow" w:cs="Arial"/>
          <w:sz w:val="24"/>
          <w:szCs w:val="24"/>
        </w:rPr>
      </w:pPr>
    </w:p>
    <w:p w:rsidR="00A211E8" w:rsidRPr="00CD728B" w:rsidRDefault="00A211E8"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 xml:space="preserve">Las áreas de oportunidad de este </w:t>
      </w:r>
      <w:r w:rsidR="009D7771">
        <w:rPr>
          <w:rFonts w:ascii="Arial Narrow" w:hAnsi="Arial Narrow" w:cs="Arial"/>
          <w:sz w:val="24"/>
          <w:szCs w:val="24"/>
        </w:rPr>
        <w:t>Artículo</w:t>
      </w:r>
      <w:r w:rsidRPr="00CD728B">
        <w:rPr>
          <w:rFonts w:ascii="Arial Narrow" w:hAnsi="Arial Narrow" w:cs="Arial"/>
          <w:sz w:val="24"/>
          <w:szCs w:val="24"/>
        </w:rPr>
        <w:t xml:space="preserve"> consisten en que los sujetos deberán de actualizar la información conforme indica la normatividad vigente, así como verificar el acceso correcto de los hipervínculos. </w:t>
      </w:r>
    </w:p>
    <w:p w:rsidR="00AF69FA" w:rsidRPr="00CD728B" w:rsidRDefault="00AF69FA" w:rsidP="002E7D47">
      <w:pPr>
        <w:contextualSpacing/>
        <w:rPr>
          <w:rFonts w:ascii="Arial Narrow" w:eastAsiaTheme="majorEastAsia" w:hAnsi="Arial Narrow" w:cstheme="majorBidi"/>
          <w:b/>
          <w:sz w:val="24"/>
          <w:szCs w:val="24"/>
        </w:rPr>
      </w:pPr>
      <w:r w:rsidRPr="00CD728B">
        <w:rPr>
          <w:rFonts w:ascii="Arial Narrow" w:hAnsi="Arial Narrow"/>
          <w:b/>
          <w:sz w:val="24"/>
          <w:szCs w:val="24"/>
        </w:rPr>
        <w:br w:type="page"/>
      </w:r>
    </w:p>
    <w:p w:rsidR="00D50026" w:rsidRPr="00CD728B" w:rsidRDefault="00AF69FA" w:rsidP="002E7D47">
      <w:pPr>
        <w:pStyle w:val="Ttulo1"/>
        <w:numPr>
          <w:ilvl w:val="0"/>
          <w:numId w:val="9"/>
        </w:numPr>
        <w:contextualSpacing/>
        <w:rPr>
          <w:rFonts w:ascii="Arial Narrow" w:hAnsi="Arial Narrow"/>
          <w:b/>
          <w:color w:val="auto"/>
          <w:sz w:val="24"/>
          <w:szCs w:val="24"/>
        </w:rPr>
      </w:pPr>
      <w:bookmarkStart w:id="75" w:name="_Toc14293776"/>
      <w:r w:rsidRPr="00CD728B">
        <w:rPr>
          <w:rFonts w:ascii="Arial Narrow" w:hAnsi="Arial Narrow"/>
          <w:b/>
          <w:color w:val="auto"/>
          <w:sz w:val="24"/>
          <w:szCs w:val="24"/>
        </w:rPr>
        <w:lastRenderedPageBreak/>
        <w:t>PARTIDOS POLÍTICOS</w:t>
      </w:r>
      <w:bookmarkEnd w:id="75"/>
      <w:r w:rsidRPr="00CD728B">
        <w:rPr>
          <w:rFonts w:ascii="Arial Narrow" w:hAnsi="Arial Narrow"/>
          <w:b/>
          <w:color w:val="auto"/>
          <w:sz w:val="24"/>
          <w:szCs w:val="24"/>
        </w:rPr>
        <w:t xml:space="preserve"> </w:t>
      </w:r>
    </w:p>
    <w:p w:rsidR="00D50026" w:rsidRPr="00CD728B" w:rsidRDefault="00D50026" w:rsidP="002E7D47">
      <w:pPr>
        <w:contextualSpacing/>
        <w:rPr>
          <w:rFonts w:ascii="Arial Narrow" w:hAnsi="Arial Narrow"/>
          <w:sz w:val="24"/>
          <w:szCs w:val="24"/>
        </w:rPr>
      </w:pPr>
    </w:p>
    <w:p w:rsidR="00D50026" w:rsidRPr="00CD728B" w:rsidRDefault="00D50026"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sz w:val="24"/>
          <w:szCs w:val="24"/>
        </w:rPr>
        <w:t>Los Partidos Políticos en la Ciudad de México</w:t>
      </w:r>
      <w:r w:rsidR="008A7753" w:rsidRPr="00CD728B">
        <w:rPr>
          <w:rFonts w:ascii="Arial Narrow" w:hAnsi="Arial Narrow"/>
          <w:sz w:val="24"/>
          <w:szCs w:val="24"/>
          <w:lang w:val="es-ES"/>
        </w:rPr>
        <w:t xml:space="preserve"> conformados por 10</w:t>
      </w:r>
      <w:r w:rsidRPr="00CD728B">
        <w:rPr>
          <w:rFonts w:ascii="Arial Narrow" w:hAnsi="Arial Narrow"/>
          <w:sz w:val="24"/>
          <w:szCs w:val="24"/>
        </w:rPr>
        <w:t xml:space="preserve"> según el </w:t>
      </w:r>
      <w:r w:rsidRPr="00CD728B">
        <w:rPr>
          <w:rFonts w:ascii="Arial Narrow" w:hAnsi="Arial Narrow" w:cs="Arial"/>
          <w:sz w:val="24"/>
          <w:szCs w:val="24"/>
        </w:rPr>
        <w:t xml:space="preserve">Padrón de </w:t>
      </w:r>
      <w:r w:rsidR="003C3757" w:rsidRPr="00CD728B">
        <w:rPr>
          <w:rFonts w:ascii="Arial Narrow" w:hAnsi="Arial Narrow" w:cs="Arial"/>
          <w:sz w:val="24"/>
          <w:szCs w:val="24"/>
        </w:rPr>
        <w:t>Sujetos Obligados</w:t>
      </w:r>
      <w:r w:rsidRPr="00CD728B">
        <w:rPr>
          <w:rFonts w:ascii="Arial Narrow" w:hAnsi="Arial Narrow"/>
          <w:sz w:val="24"/>
          <w:szCs w:val="24"/>
        </w:rPr>
        <w:t xml:space="preserve">; se muestran en la siguiente tabla, señalando su </w:t>
      </w:r>
      <w:r w:rsidRPr="00CD728B">
        <w:rPr>
          <w:rFonts w:ascii="Arial Narrow" w:hAnsi="Arial Narrow" w:cs="Arial"/>
          <w:sz w:val="24"/>
          <w:szCs w:val="24"/>
        </w:rPr>
        <w:t>Índice de Cumplimiento de Obligaciones de Transparencia del Portal de Internet (</w:t>
      </w:r>
      <w:r w:rsidR="00623A69">
        <w:rPr>
          <w:rFonts w:ascii="Arial Narrow" w:hAnsi="Arial Narrow" w:cs="Arial"/>
          <w:sz w:val="24"/>
          <w:szCs w:val="24"/>
        </w:rPr>
        <w:t>ICOT-PT</w:t>
      </w:r>
      <w:r w:rsidRPr="00CD728B">
        <w:rPr>
          <w:rFonts w:ascii="Arial Narrow" w:hAnsi="Arial Narrow" w:cs="Arial"/>
          <w:sz w:val="24"/>
          <w:szCs w:val="24"/>
        </w:rPr>
        <w:t>), el de la Plataforma Nacional de Transparencia (ICOT-PNT)</w:t>
      </w:r>
      <w:r w:rsidRPr="00CD728B">
        <w:rPr>
          <w:rFonts w:ascii="Arial Narrow" w:hAnsi="Arial Narrow"/>
          <w:sz w:val="24"/>
          <w:szCs w:val="24"/>
        </w:rPr>
        <w:t xml:space="preserve"> y el </w:t>
      </w:r>
      <w:r w:rsidRPr="00CD728B">
        <w:rPr>
          <w:rFonts w:ascii="Arial Narrow" w:hAnsi="Arial Narrow" w:cs="Arial"/>
          <w:sz w:val="24"/>
          <w:szCs w:val="24"/>
        </w:rPr>
        <w:t xml:space="preserve">Índice General de Cumplimiento de Obligaciones de Transparencia (IGOT), ordenados de forma descendente, respecto del IGOT: </w:t>
      </w:r>
    </w:p>
    <w:p w:rsidR="00D50026" w:rsidRPr="00CD728B" w:rsidRDefault="00D50026" w:rsidP="002E7D47">
      <w:pPr>
        <w:spacing w:before="100" w:beforeAutospacing="1" w:after="100" w:afterAutospacing="1" w:line="360" w:lineRule="auto"/>
        <w:contextualSpacing/>
        <w:jc w:val="both"/>
        <w:rPr>
          <w:rFonts w:ascii="Arial Narrow" w:hAnsi="Arial Narrow" w:cs="Arial"/>
          <w:sz w:val="24"/>
          <w:szCs w:val="24"/>
        </w:rPr>
      </w:pPr>
    </w:p>
    <w:tbl>
      <w:tblPr>
        <w:tblW w:w="7351" w:type="dxa"/>
        <w:jc w:val="center"/>
        <w:tblCellMar>
          <w:left w:w="70" w:type="dxa"/>
          <w:right w:w="70" w:type="dxa"/>
        </w:tblCellMar>
        <w:tblLook w:val="04A0" w:firstRow="1" w:lastRow="0" w:firstColumn="1" w:lastColumn="0" w:noHBand="0" w:noVBand="1"/>
      </w:tblPr>
      <w:tblGrid>
        <w:gridCol w:w="3745"/>
        <w:gridCol w:w="1065"/>
        <w:gridCol w:w="1427"/>
        <w:gridCol w:w="1114"/>
      </w:tblGrid>
      <w:tr w:rsidR="001E0121" w:rsidRPr="00CD728B" w:rsidTr="00091CF8">
        <w:trPr>
          <w:trHeight w:val="345"/>
          <w:tblHeader/>
          <w:jc w:val="center"/>
        </w:trPr>
        <w:tc>
          <w:tcPr>
            <w:tcW w:w="7351" w:type="dxa"/>
            <w:gridSpan w:val="4"/>
            <w:tcBorders>
              <w:top w:val="single" w:sz="8" w:space="0" w:color="auto"/>
              <w:left w:val="single" w:sz="8" w:space="0" w:color="auto"/>
              <w:bottom w:val="single" w:sz="8" w:space="0" w:color="auto"/>
              <w:right w:val="single" w:sz="8" w:space="0" w:color="000000"/>
            </w:tcBorders>
            <w:shd w:val="clear" w:color="000000" w:fill="33CCCC"/>
            <w:noWrap/>
            <w:vAlign w:val="center"/>
            <w:hideMark/>
          </w:tcPr>
          <w:p w:rsidR="00D50026" w:rsidRPr="00CD728B" w:rsidRDefault="00D50026" w:rsidP="002E7D47">
            <w:pPr>
              <w:spacing w:before="100" w:beforeAutospacing="1" w:after="100" w:afterAutospacing="1" w:line="360" w:lineRule="auto"/>
              <w:contextualSpacing/>
              <w:jc w:val="center"/>
              <w:rPr>
                <w:rFonts w:ascii="Arial Narrow" w:eastAsia="Times New Roman" w:hAnsi="Arial Narrow" w:cs="Arial"/>
                <w:b/>
                <w:bCs/>
                <w:sz w:val="24"/>
                <w:szCs w:val="24"/>
                <w:lang w:val="es-MX" w:eastAsia="es-MX"/>
              </w:rPr>
            </w:pPr>
            <w:r w:rsidRPr="00CD728B">
              <w:rPr>
                <w:rFonts w:ascii="Arial Narrow" w:eastAsia="Times New Roman" w:hAnsi="Arial Narrow" w:cs="Arial"/>
                <w:b/>
                <w:bCs/>
                <w:sz w:val="24"/>
                <w:szCs w:val="24"/>
                <w:lang w:val="es-MX" w:eastAsia="es-MX"/>
              </w:rPr>
              <w:t>Resultados de la Evaluación Vinculante 2019, respecto del ejercicio 2018</w:t>
            </w:r>
          </w:p>
        </w:tc>
      </w:tr>
      <w:tr w:rsidR="001E0121" w:rsidRPr="00CD728B" w:rsidTr="00091CF8">
        <w:trPr>
          <w:trHeight w:val="345"/>
          <w:tblHeader/>
          <w:jc w:val="center"/>
        </w:trPr>
        <w:tc>
          <w:tcPr>
            <w:tcW w:w="3745" w:type="dxa"/>
            <w:tcBorders>
              <w:top w:val="nil"/>
              <w:left w:val="single" w:sz="8" w:space="0" w:color="auto"/>
              <w:bottom w:val="single" w:sz="8" w:space="0" w:color="auto"/>
              <w:right w:val="single" w:sz="8" w:space="0" w:color="auto"/>
            </w:tcBorders>
            <w:shd w:val="clear" w:color="000000" w:fill="33CCCC"/>
            <w:noWrap/>
            <w:vAlign w:val="center"/>
            <w:hideMark/>
          </w:tcPr>
          <w:p w:rsidR="00D50026" w:rsidRPr="00CD728B" w:rsidRDefault="00D50026" w:rsidP="002E7D47">
            <w:pPr>
              <w:spacing w:before="100" w:beforeAutospacing="1" w:after="100" w:afterAutospacing="1" w:line="360" w:lineRule="auto"/>
              <w:contextualSpacing/>
              <w:jc w:val="both"/>
              <w:rPr>
                <w:rFonts w:ascii="Arial Narrow" w:eastAsia="Times New Roman" w:hAnsi="Arial Narrow" w:cs="Arial"/>
                <w:b/>
                <w:bCs/>
                <w:sz w:val="24"/>
                <w:szCs w:val="24"/>
                <w:lang w:val="es-MX" w:eastAsia="es-MX"/>
              </w:rPr>
            </w:pPr>
            <w:r w:rsidRPr="00CD728B">
              <w:rPr>
                <w:rFonts w:ascii="Arial Narrow" w:eastAsia="Times New Roman" w:hAnsi="Arial Narrow" w:cs="Arial"/>
                <w:b/>
                <w:bCs/>
                <w:sz w:val="24"/>
                <w:szCs w:val="24"/>
                <w:lang w:val="es-MX" w:eastAsia="es-MX"/>
              </w:rPr>
              <w:t>Sujeto Obligado</w:t>
            </w:r>
          </w:p>
        </w:tc>
        <w:tc>
          <w:tcPr>
            <w:tcW w:w="1065" w:type="dxa"/>
            <w:tcBorders>
              <w:top w:val="nil"/>
              <w:left w:val="nil"/>
              <w:bottom w:val="single" w:sz="8" w:space="0" w:color="auto"/>
              <w:right w:val="single" w:sz="8" w:space="0" w:color="auto"/>
            </w:tcBorders>
            <w:shd w:val="clear" w:color="000000" w:fill="33CCCC"/>
            <w:noWrap/>
            <w:vAlign w:val="center"/>
            <w:hideMark/>
          </w:tcPr>
          <w:p w:rsidR="00D50026" w:rsidRPr="00CD728B" w:rsidRDefault="00D50026" w:rsidP="002E7D47">
            <w:pPr>
              <w:spacing w:before="100" w:beforeAutospacing="1" w:after="100" w:afterAutospacing="1" w:line="360" w:lineRule="auto"/>
              <w:contextualSpacing/>
              <w:jc w:val="both"/>
              <w:rPr>
                <w:rFonts w:ascii="Arial Narrow" w:eastAsia="Times New Roman" w:hAnsi="Arial Narrow" w:cs="Arial"/>
                <w:b/>
                <w:bCs/>
                <w:sz w:val="24"/>
                <w:szCs w:val="24"/>
                <w:lang w:val="es-MX" w:eastAsia="es-MX"/>
              </w:rPr>
            </w:pPr>
            <w:r w:rsidRPr="00CD728B">
              <w:rPr>
                <w:rFonts w:ascii="Arial Narrow" w:eastAsia="Times New Roman" w:hAnsi="Arial Narrow" w:cs="Arial"/>
                <w:b/>
                <w:bCs/>
                <w:sz w:val="24"/>
                <w:szCs w:val="24"/>
                <w:lang w:val="es-MX" w:eastAsia="es-MX"/>
              </w:rPr>
              <w:t>IGOT</w:t>
            </w:r>
          </w:p>
        </w:tc>
        <w:tc>
          <w:tcPr>
            <w:tcW w:w="1427" w:type="dxa"/>
            <w:tcBorders>
              <w:top w:val="nil"/>
              <w:left w:val="nil"/>
              <w:bottom w:val="single" w:sz="8" w:space="0" w:color="auto"/>
              <w:right w:val="single" w:sz="8" w:space="0" w:color="auto"/>
            </w:tcBorders>
            <w:shd w:val="clear" w:color="000000" w:fill="33CCCC"/>
            <w:noWrap/>
            <w:vAlign w:val="center"/>
            <w:hideMark/>
          </w:tcPr>
          <w:p w:rsidR="00D50026" w:rsidRPr="00CD728B" w:rsidRDefault="00D50026" w:rsidP="002E7D47">
            <w:pPr>
              <w:spacing w:before="100" w:beforeAutospacing="1" w:after="100" w:afterAutospacing="1" w:line="360" w:lineRule="auto"/>
              <w:contextualSpacing/>
              <w:jc w:val="both"/>
              <w:rPr>
                <w:rFonts w:ascii="Arial Narrow" w:eastAsia="Times New Roman" w:hAnsi="Arial Narrow" w:cs="Arial"/>
                <w:b/>
                <w:bCs/>
                <w:sz w:val="24"/>
                <w:szCs w:val="24"/>
                <w:lang w:val="es-MX" w:eastAsia="es-MX"/>
              </w:rPr>
            </w:pPr>
            <w:r w:rsidRPr="00CD728B">
              <w:rPr>
                <w:rFonts w:ascii="Arial Narrow" w:eastAsia="Times New Roman" w:hAnsi="Arial Narrow" w:cs="Arial"/>
                <w:b/>
                <w:bCs/>
                <w:sz w:val="24"/>
                <w:szCs w:val="24"/>
                <w:lang w:val="es-MX" w:eastAsia="es-MX"/>
              </w:rPr>
              <w:t>ICOT_PT</w:t>
            </w:r>
          </w:p>
        </w:tc>
        <w:tc>
          <w:tcPr>
            <w:tcW w:w="1114" w:type="dxa"/>
            <w:tcBorders>
              <w:top w:val="nil"/>
              <w:left w:val="nil"/>
              <w:bottom w:val="single" w:sz="8" w:space="0" w:color="auto"/>
              <w:right w:val="single" w:sz="8" w:space="0" w:color="auto"/>
            </w:tcBorders>
            <w:shd w:val="clear" w:color="000000" w:fill="33CCCC"/>
            <w:noWrap/>
            <w:vAlign w:val="center"/>
            <w:hideMark/>
          </w:tcPr>
          <w:p w:rsidR="00D50026" w:rsidRPr="00CD728B" w:rsidRDefault="00D50026" w:rsidP="002E7D47">
            <w:pPr>
              <w:spacing w:before="100" w:beforeAutospacing="1" w:after="100" w:afterAutospacing="1" w:line="360" w:lineRule="auto"/>
              <w:contextualSpacing/>
              <w:jc w:val="both"/>
              <w:rPr>
                <w:rFonts w:ascii="Arial Narrow" w:eastAsia="Times New Roman" w:hAnsi="Arial Narrow" w:cs="Arial"/>
                <w:b/>
                <w:bCs/>
                <w:sz w:val="24"/>
                <w:szCs w:val="24"/>
                <w:lang w:val="es-MX" w:eastAsia="es-MX"/>
              </w:rPr>
            </w:pPr>
            <w:r w:rsidRPr="00CD728B">
              <w:rPr>
                <w:rFonts w:ascii="Arial Narrow" w:eastAsia="Times New Roman" w:hAnsi="Arial Narrow" w:cs="Arial"/>
                <w:b/>
                <w:bCs/>
                <w:sz w:val="24"/>
                <w:szCs w:val="24"/>
                <w:lang w:val="es-MX" w:eastAsia="es-MX"/>
              </w:rPr>
              <w:t>ICOT_PNT</w:t>
            </w:r>
          </w:p>
        </w:tc>
      </w:tr>
      <w:tr w:rsidR="009C6D91" w:rsidRPr="00CD728B" w:rsidTr="006C722A">
        <w:trPr>
          <w:trHeight w:val="345"/>
          <w:jc w:val="center"/>
        </w:trPr>
        <w:tc>
          <w:tcPr>
            <w:tcW w:w="3745" w:type="dxa"/>
            <w:tcBorders>
              <w:top w:val="nil"/>
              <w:left w:val="single" w:sz="8" w:space="0" w:color="auto"/>
              <w:bottom w:val="single" w:sz="8" w:space="0" w:color="auto"/>
              <w:right w:val="single" w:sz="8" w:space="0" w:color="auto"/>
            </w:tcBorders>
            <w:shd w:val="clear" w:color="auto" w:fill="auto"/>
            <w:noWrap/>
            <w:vAlign w:val="bottom"/>
            <w:hideMark/>
          </w:tcPr>
          <w:p w:rsidR="009C6D91" w:rsidRPr="00CD728B" w:rsidRDefault="009C6D91" w:rsidP="009C6D91">
            <w:pPr>
              <w:rPr>
                <w:rFonts w:ascii="Arial Narrow" w:hAnsi="Arial Narrow" w:cs="Arial"/>
                <w:color w:val="000000"/>
                <w:sz w:val="24"/>
                <w:szCs w:val="24"/>
                <w:lang w:val="es-MX"/>
              </w:rPr>
            </w:pPr>
            <w:r w:rsidRPr="00CD728B">
              <w:rPr>
                <w:rFonts w:ascii="Arial Narrow" w:hAnsi="Arial Narrow" w:cs="Arial"/>
                <w:color w:val="000000"/>
                <w:sz w:val="24"/>
                <w:szCs w:val="24"/>
              </w:rPr>
              <w:t>Movimiento Ciudadano en la Ciudad de México</w:t>
            </w:r>
          </w:p>
        </w:tc>
        <w:tc>
          <w:tcPr>
            <w:tcW w:w="1065" w:type="dxa"/>
            <w:tcBorders>
              <w:top w:val="nil"/>
              <w:left w:val="nil"/>
              <w:bottom w:val="single" w:sz="8" w:space="0" w:color="auto"/>
              <w:right w:val="single" w:sz="8" w:space="0" w:color="auto"/>
            </w:tcBorders>
            <w:shd w:val="clear" w:color="auto" w:fill="C9C9C9" w:themeFill="accent3" w:themeFillTint="99"/>
            <w:noWrap/>
            <w:vAlign w:val="bottom"/>
            <w:hideMark/>
          </w:tcPr>
          <w:p w:rsidR="009C6D91" w:rsidRPr="00CD728B" w:rsidRDefault="009C6D91" w:rsidP="009C6D91">
            <w:pPr>
              <w:jc w:val="center"/>
              <w:rPr>
                <w:rFonts w:ascii="Arial Narrow" w:hAnsi="Arial Narrow" w:cs="Arial"/>
                <w:color w:val="000000"/>
                <w:sz w:val="24"/>
                <w:szCs w:val="24"/>
              </w:rPr>
            </w:pPr>
            <w:r w:rsidRPr="00CD728B">
              <w:rPr>
                <w:rFonts w:ascii="Arial Narrow" w:hAnsi="Arial Narrow" w:cs="Arial"/>
                <w:color w:val="000000"/>
                <w:sz w:val="24"/>
                <w:szCs w:val="24"/>
              </w:rPr>
              <w:t>100.00</w:t>
            </w:r>
          </w:p>
        </w:tc>
        <w:tc>
          <w:tcPr>
            <w:tcW w:w="1427" w:type="dxa"/>
            <w:tcBorders>
              <w:top w:val="nil"/>
              <w:left w:val="nil"/>
              <w:bottom w:val="single" w:sz="8" w:space="0" w:color="auto"/>
              <w:right w:val="single" w:sz="8" w:space="0" w:color="auto"/>
            </w:tcBorders>
            <w:shd w:val="clear" w:color="auto" w:fill="auto"/>
            <w:noWrap/>
            <w:vAlign w:val="bottom"/>
            <w:hideMark/>
          </w:tcPr>
          <w:p w:rsidR="009C6D91" w:rsidRPr="00CD728B" w:rsidRDefault="009C6D91" w:rsidP="009C6D91">
            <w:pPr>
              <w:jc w:val="center"/>
              <w:rPr>
                <w:rFonts w:ascii="Arial Narrow" w:hAnsi="Arial Narrow" w:cs="Arial"/>
                <w:color w:val="000000"/>
                <w:sz w:val="24"/>
                <w:szCs w:val="24"/>
              </w:rPr>
            </w:pPr>
            <w:r w:rsidRPr="00CD728B">
              <w:rPr>
                <w:rFonts w:ascii="Arial Narrow" w:hAnsi="Arial Narrow" w:cs="Arial"/>
                <w:color w:val="000000"/>
                <w:sz w:val="24"/>
                <w:szCs w:val="24"/>
              </w:rPr>
              <w:t>100.00</w:t>
            </w:r>
          </w:p>
        </w:tc>
        <w:tc>
          <w:tcPr>
            <w:tcW w:w="1114" w:type="dxa"/>
            <w:tcBorders>
              <w:top w:val="nil"/>
              <w:left w:val="nil"/>
              <w:bottom w:val="single" w:sz="8" w:space="0" w:color="auto"/>
              <w:right w:val="single" w:sz="8" w:space="0" w:color="auto"/>
            </w:tcBorders>
            <w:shd w:val="clear" w:color="auto" w:fill="auto"/>
            <w:noWrap/>
            <w:vAlign w:val="bottom"/>
            <w:hideMark/>
          </w:tcPr>
          <w:p w:rsidR="009C6D91" w:rsidRPr="00CD728B" w:rsidRDefault="009C6D91" w:rsidP="009C6D91">
            <w:pPr>
              <w:jc w:val="center"/>
              <w:rPr>
                <w:rFonts w:ascii="Arial Narrow" w:hAnsi="Arial Narrow" w:cs="Arial"/>
                <w:color w:val="000000"/>
                <w:sz w:val="24"/>
                <w:szCs w:val="24"/>
              </w:rPr>
            </w:pPr>
            <w:r w:rsidRPr="00CD728B">
              <w:rPr>
                <w:rFonts w:ascii="Arial Narrow" w:hAnsi="Arial Narrow" w:cs="Arial"/>
                <w:color w:val="000000"/>
                <w:sz w:val="24"/>
                <w:szCs w:val="24"/>
              </w:rPr>
              <w:t>100.00</w:t>
            </w:r>
          </w:p>
        </w:tc>
      </w:tr>
      <w:tr w:rsidR="009C6D91" w:rsidRPr="00CD728B" w:rsidTr="006C722A">
        <w:trPr>
          <w:trHeight w:val="345"/>
          <w:jc w:val="center"/>
        </w:trPr>
        <w:tc>
          <w:tcPr>
            <w:tcW w:w="3745" w:type="dxa"/>
            <w:tcBorders>
              <w:top w:val="nil"/>
              <w:left w:val="single" w:sz="8" w:space="0" w:color="auto"/>
              <w:bottom w:val="single" w:sz="8" w:space="0" w:color="auto"/>
              <w:right w:val="single" w:sz="8" w:space="0" w:color="auto"/>
            </w:tcBorders>
            <w:shd w:val="clear" w:color="auto" w:fill="auto"/>
            <w:noWrap/>
            <w:vAlign w:val="bottom"/>
            <w:hideMark/>
          </w:tcPr>
          <w:p w:rsidR="009C6D91" w:rsidRPr="00CD728B" w:rsidRDefault="009C6D91" w:rsidP="009C6D91">
            <w:pPr>
              <w:rPr>
                <w:rFonts w:ascii="Arial Narrow" w:hAnsi="Arial Narrow" w:cs="Arial"/>
                <w:color w:val="000000"/>
                <w:sz w:val="24"/>
                <w:szCs w:val="24"/>
              </w:rPr>
            </w:pPr>
            <w:r w:rsidRPr="00CD728B">
              <w:rPr>
                <w:rFonts w:ascii="Arial Narrow" w:hAnsi="Arial Narrow" w:cs="Arial"/>
                <w:color w:val="000000"/>
                <w:sz w:val="24"/>
                <w:szCs w:val="24"/>
              </w:rPr>
              <w:t>Partido Revolucionario Institucional en la Ciudad de México</w:t>
            </w:r>
          </w:p>
        </w:tc>
        <w:tc>
          <w:tcPr>
            <w:tcW w:w="1065" w:type="dxa"/>
            <w:tcBorders>
              <w:top w:val="nil"/>
              <w:left w:val="nil"/>
              <w:bottom w:val="single" w:sz="8" w:space="0" w:color="auto"/>
              <w:right w:val="single" w:sz="8" w:space="0" w:color="auto"/>
            </w:tcBorders>
            <w:shd w:val="clear" w:color="auto" w:fill="C9C9C9" w:themeFill="accent3" w:themeFillTint="99"/>
            <w:noWrap/>
            <w:vAlign w:val="bottom"/>
            <w:hideMark/>
          </w:tcPr>
          <w:p w:rsidR="009C6D91" w:rsidRPr="00CD728B" w:rsidRDefault="009C6D91" w:rsidP="009C6D91">
            <w:pPr>
              <w:jc w:val="center"/>
              <w:rPr>
                <w:rFonts w:ascii="Arial Narrow" w:hAnsi="Arial Narrow" w:cs="Arial"/>
                <w:color w:val="000000"/>
                <w:sz w:val="24"/>
                <w:szCs w:val="24"/>
              </w:rPr>
            </w:pPr>
            <w:r w:rsidRPr="00CD728B">
              <w:rPr>
                <w:rFonts w:ascii="Arial Narrow" w:hAnsi="Arial Narrow" w:cs="Arial"/>
                <w:color w:val="000000"/>
                <w:sz w:val="24"/>
                <w:szCs w:val="24"/>
              </w:rPr>
              <w:t>100.00</w:t>
            </w:r>
          </w:p>
        </w:tc>
        <w:tc>
          <w:tcPr>
            <w:tcW w:w="1427" w:type="dxa"/>
            <w:tcBorders>
              <w:top w:val="nil"/>
              <w:left w:val="nil"/>
              <w:bottom w:val="single" w:sz="8" w:space="0" w:color="auto"/>
              <w:right w:val="single" w:sz="8" w:space="0" w:color="auto"/>
            </w:tcBorders>
            <w:shd w:val="clear" w:color="auto" w:fill="auto"/>
            <w:noWrap/>
            <w:vAlign w:val="bottom"/>
            <w:hideMark/>
          </w:tcPr>
          <w:p w:rsidR="009C6D91" w:rsidRPr="00CD728B" w:rsidRDefault="009C6D91" w:rsidP="009C6D91">
            <w:pPr>
              <w:jc w:val="center"/>
              <w:rPr>
                <w:rFonts w:ascii="Arial Narrow" w:hAnsi="Arial Narrow" w:cs="Arial"/>
                <w:color w:val="000000"/>
                <w:sz w:val="24"/>
                <w:szCs w:val="24"/>
              </w:rPr>
            </w:pPr>
            <w:r w:rsidRPr="00CD728B">
              <w:rPr>
                <w:rFonts w:ascii="Arial Narrow" w:hAnsi="Arial Narrow" w:cs="Arial"/>
                <w:color w:val="000000"/>
                <w:sz w:val="24"/>
                <w:szCs w:val="24"/>
              </w:rPr>
              <w:t>100.00</w:t>
            </w:r>
          </w:p>
        </w:tc>
        <w:tc>
          <w:tcPr>
            <w:tcW w:w="1114" w:type="dxa"/>
            <w:tcBorders>
              <w:top w:val="nil"/>
              <w:left w:val="nil"/>
              <w:bottom w:val="single" w:sz="8" w:space="0" w:color="auto"/>
              <w:right w:val="single" w:sz="8" w:space="0" w:color="auto"/>
            </w:tcBorders>
            <w:shd w:val="clear" w:color="auto" w:fill="auto"/>
            <w:noWrap/>
            <w:vAlign w:val="bottom"/>
            <w:hideMark/>
          </w:tcPr>
          <w:p w:rsidR="009C6D91" w:rsidRPr="00CD728B" w:rsidRDefault="009C6D91" w:rsidP="009C6D91">
            <w:pPr>
              <w:jc w:val="center"/>
              <w:rPr>
                <w:rFonts w:ascii="Arial Narrow" w:hAnsi="Arial Narrow" w:cs="Arial"/>
                <w:color w:val="000000"/>
                <w:sz w:val="24"/>
                <w:szCs w:val="24"/>
              </w:rPr>
            </w:pPr>
            <w:r w:rsidRPr="00CD728B">
              <w:rPr>
                <w:rFonts w:ascii="Arial Narrow" w:hAnsi="Arial Narrow" w:cs="Arial"/>
                <w:color w:val="000000"/>
                <w:sz w:val="24"/>
                <w:szCs w:val="24"/>
              </w:rPr>
              <w:t>100.00</w:t>
            </w:r>
          </w:p>
        </w:tc>
      </w:tr>
      <w:tr w:rsidR="009C6D91" w:rsidRPr="00CD728B" w:rsidTr="006C722A">
        <w:trPr>
          <w:trHeight w:val="345"/>
          <w:jc w:val="center"/>
        </w:trPr>
        <w:tc>
          <w:tcPr>
            <w:tcW w:w="3745" w:type="dxa"/>
            <w:tcBorders>
              <w:top w:val="nil"/>
              <w:left w:val="single" w:sz="8" w:space="0" w:color="auto"/>
              <w:bottom w:val="single" w:sz="8" w:space="0" w:color="auto"/>
              <w:right w:val="single" w:sz="8" w:space="0" w:color="auto"/>
            </w:tcBorders>
            <w:shd w:val="clear" w:color="auto" w:fill="auto"/>
            <w:noWrap/>
            <w:vAlign w:val="bottom"/>
            <w:hideMark/>
          </w:tcPr>
          <w:p w:rsidR="009C6D91" w:rsidRPr="00CD728B" w:rsidRDefault="009C6D91" w:rsidP="009C6D91">
            <w:pPr>
              <w:rPr>
                <w:rFonts w:ascii="Arial Narrow" w:hAnsi="Arial Narrow" w:cs="Arial"/>
                <w:color w:val="000000"/>
                <w:sz w:val="24"/>
                <w:szCs w:val="24"/>
              </w:rPr>
            </w:pPr>
            <w:r w:rsidRPr="00CD728B">
              <w:rPr>
                <w:rFonts w:ascii="Arial Narrow" w:hAnsi="Arial Narrow" w:cs="Arial"/>
                <w:color w:val="000000"/>
                <w:sz w:val="24"/>
                <w:szCs w:val="24"/>
              </w:rPr>
              <w:t>Partido Verde Ecologista de México en la Ciudad de México</w:t>
            </w:r>
          </w:p>
        </w:tc>
        <w:tc>
          <w:tcPr>
            <w:tcW w:w="1065" w:type="dxa"/>
            <w:tcBorders>
              <w:top w:val="nil"/>
              <w:left w:val="nil"/>
              <w:bottom w:val="single" w:sz="8" w:space="0" w:color="auto"/>
              <w:right w:val="single" w:sz="8" w:space="0" w:color="auto"/>
            </w:tcBorders>
            <w:shd w:val="clear" w:color="auto" w:fill="C9C9C9" w:themeFill="accent3" w:themeFillTint="99"/>
            <w:noWrap/>
            <w:vAlign w:val="bottom"/>
            <w:hideMark/>
          </w:tcPr>
          <w:p w:rsidR="009C6D91" w:rsidRPr="00CD728B" w:rsidRDefault="009C6D91" w:rsidP="009C6D91">
            <w:pPr>
              <w:jc w:val="center"/>
              <w:rPr>
                <w:rFonts w:ascii="Arial Narrow" w:hAnsi="Arial Narrow" w:cs="Arial"/>
                <w:color w:val="000000"/>
                <w:sz w:val="24"/>
                <w:szCs w:val="24"/>
              </w:rPr>
            </w:pPr>
            <w:r w:rsidRPr="00CD728B">
              <w:rPr>
                <w:rFonts w:ascii="Arial Narrow" w:hAnsi="Arial Narrow" w:cs="Arial"/>
                <w:color w:val="000000"/>
                <w:sz w:val="24"/>
                <w:szCs w:val="24"/>
              </w:rPr>
              <w:t>94.83</w:t>
            </w:r>
          </w:p>
        </w:tc>
        <w:tc>
          <w:tcPr>
            <w:tcW w:w="1427" w:type="dxa"/>
            <w:tcBorders>
              <w:top w:val="nil"/>
              <w:left w:val="nil"/>
              <w:bottom w:val="single" w:sz="8" w:space="0" w:color="auto"/>
              <w:right w:val="single" w:sz="8" w:space="0" w:color="auto"/>
            </w:tcBorders>
            <w:shd w:val="clear" w:color="auto" w:fill="auto"/>
            <w:noWrap/>
            <w:vAlign w:val="bottom"/>
            <w:hideMark/>
          </w:tcPr>
          <w:p w:rsidR="009C6D91" w:rsidRPr="00CD728B" w:rsidRDefault="009C6D91" w:rsidP="009C6D91">
            <w:pPr>
              <w:jc w:val="center"/>
              <w:rPr>
                <w:rFonts w:ascii="Arial Narrow" w:hAnsi="Arial Narrow" w:cs="Arial"/>
                <w:color w:val="000000"/>
                <w:sz w:val="24"/>
                <w:szCs w:val="24"/>
              </w:rPr>
            </w:pPr>
            <w:r w:rsidRPr="00CD728B">
              <w:rPr>
                <w:rFonts w:ascii="Arial Narrow" w:hAnsi="Arial Narrow" w:cs="Arial"/>
                <w:color w:val="000000"/>
                <w:sz w:val="24"/>
                <w:szCs w:val="24"/>
              </w:rPr>
              <w:t>92.67</w:t>
            </w:r>
          </w:p>
        </w:tc>
        <w:tc>
          <w:tcPr>
            <w:tcW w:w="1114" w:type="dxa"/>
            <w:tcBorders>
              <w:top w:val="nil"/>
              <w:left w:val="nil"/>
              <w:bottom w:val="single" w:sz="8" w:space="0" w:color="auto"/>
              <w:right w:val="single" w:sz="8" w:space="0" w:color="auto"/>
            </w:tcBorders>
            <w:shd w:val="clear" w:color="auto" w:fill="auto"/>
            <w:noWrap/>
            <w:vAlign w:val="bottom"/>
            <w:hideMark/>
          </w:tcPr>
          <w:p w:rsidR="009C6D91" w:rsidRPr="00CD728B" w:rsidRDefault="009C6D91" w:rsidP="009C6D91">
            <w:pPr>
              <w:jc w:val="center"/>
              <w:rPr>
                <w:rFonts w:ascii="Arial Narrow" w:hAnsi="Arial Narrow" w:cs="Arial"/>
                <w:color w:val="000000"/>
                <w:sz w:val="24"/>
                <w:szCs w:val="24"/>
              </w:rPr>
            </w:pPr>
            <w:r w:rsidRPr="00CD728B">
              <w:rPr>
                <w:rFonts w:ascii="Arial Narrow" w:hAnsi="Arial Narrow" w:cs="Arial"/>
                <w:color w:val="000000"/>
                <w:sz w:val="24"/>
                <w:szCs w:val="24"/>
              </w:rPr>
              <w:t>96.99</w:t>
            </w:r>
          </w:p>
        </w:tc>
      </w:tr>
      <w:tr w:rsidR="009C6D91" w:rsidRPr="00CD728B" w:rsidTr="006C722A">
        <w:trPr>
          <w:trHeight w:val="345"/>
          <w:jc w:val="center"/>
        </w:trPr>
        <w:tc>
          <w:tcPr>
            <w:tcW w:w="3745" w:type="dxa"/>
            <w:tcBorders>
              <w:top w:val="nil"/>
              <w:left w:val="single" w:sz="8" w:space="0" w:color="auto"/>
              <w:bottom w:val="single" w:sz="8" w:space="0" w:color="auto"/>
              <w:right w:val="single" w:sz="8" w:space="0" w:color="auto"/>
            </w:tcBorders>
            <w:shd w:val="clear" w:color="auto" w:fill="auto"/>
            <w:noWrap/>
            <w:vAlign w:val="bottom"/>
            <w:hideMark/>
          </w:tcPr>
          <w:p w:rsidR="009C6D91" w:rsidRPr="00CD728B" w:rsidRDefault="009C6D91" w:rsidP="009C6D91">
            <w:pPr>
              <w:rPr>
                <w:rFonts w:ascii="Arial Narrow" w:hAnsi="Arial Narrow" w:cs="Arial"/>
                <w:color w:val="000000"/>
                <w:sz w:val="24"/>
                <w:szCs w:val="24"/>
              </w:rPr>
            </w:pPr>
            <w:r w:rsidRPr="00CD728B">
              <w:rPr>
                <w:rFonts w:ascii="Arial Narrow" w:hAnsi="Arial Narrow" w:cs="Arial"/>
                <w:color w:val="000000"/>
                <w:sz w:val="24"/>
                <w:szCs w:val="24"/>
              </w:rPr>
              <w:t>Partido de la Revolución Democrática en la Ciudad de México</w:t>
            </w:r>
          </w:p>
        </w:tc>
        <w:tc>
          <w:tcPr>
            <w:tcW w:w="1065" w:type="dxa"/>
            <w:tcBorders>
              <w:top w:val="nil"/>
              <w:left w:val="nil"/>
              <w:bottom w:val="single" w:sz="8" w:space="0" w:color="auto"/>
              <w:right w:val="single" w:sz="8" w:space="0" w:color="auto"/>
            </w:tcBorders>
            <w:shd w:val="clear" w:color="auto" w:fill="C9C9C9" w:themeFill="accent3" w:themeFillTint="99"/>
            <w:noWrap/>
            <w:vAlign w:val="bottom"/>
            <w:hideMark/>
          </w:tcPr>
          <w:p w:rsidR="009C6D91" w:rsidRPr="00CD728B" w:rsidRDefault="009C6D91" w:rsidP="009C6D91">
            <w:pPr>
              <w:jc w:val="center"/>
              <w:rPr>
                <w:rFonts w:ascii="Arial Narrow" w:hAnsi="Arial Narrow" w:cs="Arial"/>
                <w:color w:val="000000"/>
                <w:sz w:val="24"/>
                <w:szCs w:val="24"/>
              </w:rPr>
            </w:pPr>
            <w:r w:rsidRPr="00CD728B">
              <w:rPr>
                <w:rFonts w:ascii="Arial Narrow" w:hAnsi="Arial Narrow" w:cs="Arial"/>
                <w:color w:val="000000"/>
                <w:sz w:val="24"/>
                <w:szCs w:val="24"/>
              </w:rPr>
              <w:t>70.86</w:t>
            </w:r>
          </w:p>
        </w:tc>
        <w:tc>
          <w:tcPr>
            <w:tcW w:w="1427" w:type="dxa"/>
            <w:tcBorders>
              <w:top w:val="nil"/>
              <w:left w:val="nil"/>
              <w:bottom w:val="single" w:sz="8" w:space="0" w:color="auto"/>
              <w:right w:val="single" w:sz="8" w:space="0" w:color="auto"/>
            </w:tcBorders>
            <w:shd w:val="clear" w:color="auto" w:fill="auto"/>
            <w:noWrap/>
            <w:vAlign w:val="bottom"/>
            <w:hideMark/>
          </w:tcPr>
          <w:p w:rsidR="009C6D91" w:rsidRPr="00CD728B" w:rsidRDefault="009C6D91" w:rsidP="009C6D91">
            <w:pPr>
              <w:jc w:val="center"/>
              <w:rPr>
                <w:rFonts w:ascii="Arial Narrow" w:hAnsi="Arial Narrow" w:cs="Arial"/>
                <w:color w:val="000000"/>
                <w:sz w:val="24"/>
                <w:szCs w:val="24"/>
              </w:rPr>
            </w:pPr>
            <w:r w:rsidRPr="00CD728B">
              <w:rPr>
                <w:rFonts w:ascii="Arial Narrow" w:hAnsi="Arial Narrow" w:cs="Arial"/>
                <w:color w:val="000000"/>
                <w:sz w:val="24"/>
                <w:szCs w:val="24"/>
              </w:rPr>
              <w:t>74.50</w:t>
            </w:r>
          </w:p>
        </w:tc>
        <w:tc>
          <w:tcPr>
            <w:tcW w:w="1114" w:type="dxa"/>
            <w:tcBorders>
              <w:top w:val="nil"/>
              <w:left w:val="nil"/>
              <w:bottom w:val="single" w:sz="8" w:space="0" w:color="auto"/>
              <w:right w:val="single" w:sz="8" w:space="0" w:color="auto"/>
            </w:tcBorders>
            <w:shd w:val="clear" w:color="auto" w:fill="auto"/>
            <w:noWrap/>
            <w:vAlign w:val="bottom"/>
            <w:hideMark/>
          </w:tcPr>
          <w:p w:rsidR="009C6D91" w:rsidRPr="00CD728B" w:rsidRDefault="009C6D91" w:rsidP="009C6D91">
            <w:pPr>
              <w:jc w:val="center"/>
              <w:rPr>
                <w:rFonts w:ascii="Arial Narrow" w:hAnsi="Arial Narrow" w:cs="Arial"/>
                <w:color w:val="000000"/>
                <w:sz w:val="24"/>
                <w:szCs w:val="24"/>
              </w:rPr>
            </w:pPr>
            <w:r w:rsidRPr="00CD728B">
              <w:rPr>
                <w:rFonts w:ascii="Arial Narrow" w:hAnsi="Arial Narrow" w:cs="Arial"/>
                <w:color w:val="000000"/>
                <w:sz w:val="24"/>
                <w:szCs w:val="24"/>
              </w:rPr>
              <w:t>67.22</w:t>
            </w:r>
          </w:p>
        </w:tc>
      </w:tr>
      <w:tr w:rsidR="009C6D91" w:rsidRPr="00CD728B" w:rsidTr="006C722A">
        <w:trPr>
          <w:trHeight w:val="345"/>
          <w:jc w:val="center"/>
        </w:trPr>
        <w:tc>
          <w:tcPr>
            <w:tcW w:w="3745" w:type="dxa"/>
            <w:tcBorders>
              <w:top w:val="nil"/>
              <w:left w:val="single" w:sz="8" w:space="0" w:color="auto"/>
              <w:bottom w:val="single" w:sz="8" w:space="0" w:color="auto"/>
              <w:right w:val="single" w:sz="8" w:space="0" w:color="auto"/>
            </w:tcBorders>
            <w:shd w:val="clear" w:color="auto" w:fill="auto"/>
            <w:noWrap/>
            <w:vAlign w:val="bottom"/>
            <w:hideMark/>
          </w:tcPr>
          <w:p w:rsidR="009C6D91" w:rsidRPr="00CD728B" w:rsidRDefault="009C6D91" w:rsidP="009C6D91">
            <w:pPr>
              <w:rPr>
                <w:rFonts w:ascii="Arial Narrow" w:hAnsi="Arial Narrow" w:cs="Arial"/>
                <w:color w:val="000000"/>
                <w:sz w:val="24"/>
                <w:szCs w:val="24"/>
              </w:rPr>
            </w:pPr>
            <w:r w:rsidRPr="00CD728B">
              <w:rPr>
                <w:rFonts w:ascii="Arial Narrow" w:hAnsi="Arial Narrow" w:cs="Arial"/>
                <w:color w:val="000000"/>
                <w:sz w:val="24"/>
                <w:szCs w:val="24"/>
              </w:rPr>
              <w:t>Partido Humanista en la Ciudad de México</w:t>
            </w:r>
          </w:p>
        </w:tc>
        <w:tc>
          <w:tcPr>
            <w:tcW w:w="1065" w:type="dxa"/>
            <w:tcBorders>
              <w:top w:val="nil"/>
              <w:left w:val="nil"/>
              <w:bottom w:val="single" w:sz="8" w:space="0" w:color="auto"/>
              <w:right w:val="single" w:sz="8" w:space="0" w:color="auto"/>
            </w:tcBorders>
            <w:shd w:val="clear" w:color="auto" w:fill="C9C9C9" w:themeFill="accent3" w:themeFillTint="99"/>
            <w:noWrap/>
            <w:vAlign w:val="bottom"/>
            <w:hideMark/>
          </w:tcPr>
          <w:p w:rsidR="009C6D91" w:rsidRPr="00CD728B" w:rsidRDefault="009C6D91" w:rsidP="009C6D91">
            <w:pPr>
              <w:jc w:val="center"/>
              <w:rPr>
                <w:rFonts w:ascii="Arial Narrow" w:hAnsi="Arial Narrow" w:cs="Arial"/>
                <w:color w:val="000000"/>
                <w:sz w:val="24"/>
                <w:szCs w:val="24"/>
              </w:rPr>
            </w:pPr>
            <w:r w:rsidRPr="00CD728B">
              <w:rPr>
                <w:rFonts w:ascii="Arial Narrow" w:hAnsi="Arial Narrow" w:cs="Arial"/>
                <w:color w:val="000000"/>
                <w:sz w:val="24"/>
                <w:szCs w:val="24"/>
              </w:rPr>
              <w:t>65.32</w:t>
            </w:r>
          </w:p>
        </w:tc>
        <w:tc>
          <w:tcPr>
            <w:tcW w:w="1427" w:type="dxa"/>
            <w:tcBorders>
              <w:top w:val="nil"/>
              <w:left w:val="nil"/>
              <w:bottom w:val="single" w:sz="8" w:space="0" w:color="auto"/>
              <w:right w:val="single" w:sz="8" w:space="0" w:color="auto"/>
            </w:tcBorders>
            <w:shd w:val="clear" w:color="auto" w:fill="auto"/>
            <w:noWrap/>
            <w:vAlign w:val="bottom"/>
            <w:hideMark/>
          </w:tcPr>
          <w:p w:rsidR="009C6D91" w:rsidRPr="00CD728B" w:rsidRDefault="009C6D91" w:rsidP="009C6D91">
            <w:pPr>
              <w:jc w:val="center"/>
              <w:rPr>
                <w:rFonts w:ascii="Arial Narrow" w:hAnsi="Arial Narrow" w:cs="Arial"/>
                <w:color w:val="000000"/>
                <w:sz w:val="24"/>
                <w:szCs w:val="24"/>
              </w:rPr>
            </w:pPr>
            <w:r w:rsidRPr="00CD728B">
              <w:rPr>
                <w:rFonts w:ascii="Arial Narrow" w:hAnsi="Arial Narrow" w:cs="Arial"/>
                <w:color w:val="000000"/>
                <w:sz w:val="24"/>
                <w:szCs w:val="24"/>
              </w:rPr>
              <w:t>65.32</w:t>
            </w:r>
          </w:p>
        </w:tc>
        <w:tc>
          <w:tcPr>
            <w:tcW w:w="1114" w:type="dxa"/>
            <w:tcBorders>
              <w:top w:val="nil"/>
              <w:left w:val="nil"/>
              <w:bottom w:val="single" w:sz="8" w:space="0" w:color="auto"/>
              <w:right w:val="single" w:sz="8" w:space="0" w:color="auto"/>
            </w:tcBorders>
            <w:shd w:val="clear" w:color="auto" w:fill="auto"/>
            <w:noWrap/>
            <w:vAlign w:val="bottom"/>
            <w:hideMark/>
          </w:tcPr>
          <w:p w:rsidR="009C6D91" w:rsidRPr="00CD728B" w:rsidRDefault="009C6D91" w:rsidP="009C6D91">
            <w:pPr>
              <w:jc w:val="center"/>
              <w:rPr>
                <w:rFonts w:ascii="Arial Narrow" w:hAnsi="Arial Narrow" w:cs="Arial"/>
                <w:color w:val="000000"/>
                <w:sz w:val="24"/>
                <w:szCs w:val="24"/>
              </w:rPr>
            </w:pPr>
            <w:r w:rsidRPr="00CD728B">
              <w:rPr>
                <w:rFonts w:ascii="Arial Narrow" w:hAnsi="Arial Narrow" w:cs="Arial"/>
                <w:color w:val="000000"/>
                <w:sz w:val="24"/>
                <w:szCs w:val="24"/>
              </w:rPr>
              <w:t>65.32</w:t>
            </w:r>
          </w:p>
        </w:tc>
      </w:tr>
      <w:tr w:rsidR="009C6D91" w:rsidRPr="00CD728B" w:rsidTr="006C722A">
        <w:trPr>
          <w:trHeight w:val="345"/>
          <w:jc w:val="center"/>
        </w:trPr>
        <w:tc>
          <w:tcPr>
            <w:tcW w:w="3745" w:type="dxa"/>
            <w:tcBorders>
              <w:top w:val="nil"/>
              <w:left w:val="single" w:sz="8" w:space="0" w:color="auto"/>
              <w:bottom w:val="single" w:sz="8" w:space="0" w:color="auto"/>
              <w:right w:val="single" w:sz="8" w:space="0" w:color="auto"/>
            </w:tcBorders>
            <w:shd w:val="clear" w:color="auto" w:fill="auto"/>
            <w:noWrap/>
            <w:vAlign w:val="bottom"/>
            <w:hideMark/>
          </w:tcPr>
          <w:p w:rsidR="009C6D91" w:rsidRPr="00CD728B" w:rsidRDefault="009C6D91" w:rsidP="009C6D91">
            <w:pPr>
              <w:rPr>
                <w:rFonts w:ascii="Arial Narrow" w:hAnsi="Arial Narrow" w:cs="Arial"/>
                <w:color w:val="000000"/>
                <w:sz w:val="24"/>
                <w:szCs w:val="24"/>
              </w:rPr>
            </w:pPr>
            <w:r w:rsidRPr="00CD728B">
              <w:rPr>
                <w:rFonts w:ascii="Arial Narrow" w:hAnsi="Arial Narrow" w:cs="Arial"/>
                <w:color w:val="000000"/>
                <w:sz w:val="24"/>
                <w:szCs w:val="24"/>
              </w:rPr>
              <w:t>Partido del Trabajo en la Ciudad de México</w:t>
            </w:r>
          </w:p>
        </w:tc>
        <w:tc>
          <w:tcPr>
            <w:tcW w:w="1065" w:type="dxa"/>
            <w:tcBorders>
              <w:top w:val="nil"/>
              <w:left w:val="nil"/>
              <w:bottom w:val="single" w:sz="8" w:space="0" w:color="auto"/>
              <w:right w:val="single" w:sz="8" w:space="0" w:color="auto"/>
            </w:tcBorders>
            <w:shd w:val="clear" w:color="auto" w:fill="C9C9C9" w:themeFill="accent3" w:themeFillTint="99"/>
            <w:noWrap/>
            <w:vAlign w:val="bottom"/>
            <w:hideMark/>
          </w:tcPr>
          <w:p w:rsidR="009C6D91" w:rsidRPr="00CD728B" w:rsidRDefault="009C6D91" w:rsidP="009C6D91">
            <w:pPr>
              <w:jc w:val="center"/>
              <w:rPr>
                <w:rFonts w:ascii="Arial Narrow" w:hAnsi="Arial Narrow" w:cs="Arial"/>
                <w:color w:val="000000"/>
                <w:sz w:val="24"/>
                <w:szCs w:val="24"/>
              </w:rPr>
            </w:pPr>
            <w:r w:rsidRPr="00CD728B">
              <w:rPr>
                <w:rFonts w:ascii="Arial Narrow" w:hAnsi="Arial Narrow" w:cs="Arial"/>
                <w:color w:val="000000"/>
                <w:sz w:val="24"/>
                <w:szCs w:val="24"/>
              </w:rPr>
              <w:t>63.03</w:t>
            </w:r>
          </w:p>
        </w:tc>
        <w:tc>
          <w:tcPr>
            <w:tcW w:w="1427" w:type="dxa"/>
            <w:tcBorders>
              <w:top w:val="nil"/>
              <w:left w:val="nil"/>
              <w:bottom w:val="single" w:sz="8" w:space="0" w:color="auto"/>
              <w:right w:val="single" w:sz="8" w:space="0" w:color="auto"/>
            </w:tcBorders>
            <w:shd w:val="clear" w:color="auto" w:fill="auto"/>
            <w:noWrap/>
            <w:vAlign w:val="bottom"/>
            <w:hideMark/>
          </w:tcPr>
          <w:p w:rsidR="009C6D91" w:rsidRPr="00CD728B" w:rsidRDefault="009C6D91" w:rsidP="009C6D91">
            <w:pPr>
              <w:jc w:val="center"/>
              <w:rPr>
                <w:rFonts w:ascii="Arial Narrow" w:hAnsi="Arial Narrow" w:cs="Arial"/>
                <w:color w:val="000000"/>
                <w:sz w:val="24"/>
                <w:szCs w:val="24"/>
              </w:rPr>
            </w:pPr>
            <w:r w:rsidRPr="00CD728B">
              <w:rPr>
                <w:rFonts w:ascii="Arial Narrow" w:hAnsi="Arial Narrow" w:cs="Arial"/>
                <w:color w:val="000000"/>
                <w:sz w:val="24"/>
                <w:szCs w:val="24"/>
              </w:rPr>
              <w:t>55.11</w:t>
            </w:r>
          </w:p>
        </w:tc>
        <w:tc>
          <w:tcPr>
            <w:tcW w:w="1114" w:type="dxa"/>
            <w:tcBorders>
              <w:top w:val="nil"/>
              <w:left w:val="nil"/>
              <w:bottom w:val="single" w:sz="8" w:space="0" w:color="auto"/>
              <w:right w:val="single" w:sz="8" w:space="0" w:color="auto"/>
            </w:tcBorders>
            <w:shd w:val="clear" w:color="auto" w:fill="auto"/>
            <w:noWrap/>
            <w:vAlign w:val="bottom"/>
            <w:hideMark/>
          </w:tcPr>
          <w:p w:rsidR="009C6D91" w:rsidRPr="00CD728B" w:rsidRDefault="009C6D91" w:rsidP="009C6D91">
            <w:pPr>
              <w:jc w:val="center"/>
              <w:rPr>
                <w:rFonts w:ascii="Arial Narrow" w:hAnsi="Arial Narrow" w:cs="Arial"/>
                <w:color w:val="000000"/>
                <w:sz w:val="24"/>
                <w:szCs w:val="24"/>
              </w:rPr>
            </w:pPr>
            <w:r w:rsidRPr="00CD728B">
              <w:rPr>
                <w:rFonts w:ascii="Arial Narrow" w:hAnsi="Arial Narrow" w:cs="Arial"/>
                <w:color w:val="000000"/>
                <w:sz w:val="24"/>
                <w:szCs w:val="24"/>
              </w:rPr>
              <w:t>70.95</w:t>
            </w:r>
          </w:p>
        </w:tc>
      </w:tr>
      <w:tr w:rsidR="009C6D91" w:rsidRPr="00CD728B" w:rsidTr="006C722A">
        <w:trPr>
          <w:trHeight w:val="345"/>
          <w:jc w:val="center"/>
        </w:trPr>
        <w:tc>
          <w:tcPr>
            <w:tcW w:w="3745" w:type="dxa"/>
            <w:tcBorders>
              <w:top w:val="nil"/>
              <w:left w:val="single" w:sz="8" w:space="0" w:color="auto"/>
              <w:bottom w:val="single" w:sz="8" w:space="0" w:color="auto"/>
              <w:right w:val="single" w:sz="8" w:space="0" w:color="auto"/>
            </w:tcBorders>
            <w:shd w:val="clear" w:color="auto" w:fill="auto"/>
            <w:noWrap/>
            <w:vAlign w:val="bottom"/>
            <w:hideMark/>
          </w:tcPr>
          <w:p w:rsidR="009C6D91" w:rsidRPr="00CD728B" w:rsidRDefault="009C6D91" w:rsidP="009C6D91">
            <w:pPr>
              <w:rPr>
                <w:rFonts w:ascii="Arial Narrow" w:hAnsi="Arial Narrow" w:cs="Arial"/>
                <w:color w:val="000000"/>
                <w:sz w:val="24"/>
                <w:szCs w:val="24"/>
              </w:rPr>
            </w:pPr>
            <w:r w:rsidRPr="00CD728B">
              <w:rPr>
                <w:rFonts w:ascii="Arial Narrow" w:hAnsi="Arial Narrow" w:cs="Arial"/>
                <w:color w:val="000000"/>
                <w:sz w:val="24"/>
                <w:szCs w:val="24"/>
              </w:rPr>
              <w:t>Partido Acción Nacional en la Ciudad de México</w:t>
            </w:r>
          </w:p>
        </w:tc>
        <w:tc>
          <w:tcPr>
            <w:tcW w:w="1065" w:type="dxa"/>
            <w:tcBorders>
              <w:top w:val="nil"/>
              <w:left w:val="nil"/>
              <w:bottom w:val="single" w:sz="8" w:space="0" w:color="auto"/>
              <w:right w:val="single" w:sz="8" w:space="0" w:color="auto"/>
            </w:tcBorders>
            <w:shd w:val="clear" w:color="auto" w:fill="C9C9C9" w:themeFill="accent3" w:themeFillTint="99"/>
            <w:noWrap/>
            <w:vAlign w:val="bottom"/>
            <w:hideMark/>
          </w:tcPr>
          <w:p w:rsidR="009C6D91" w:rsidRPr="00CD728B" w:rsidRDefault="009C6D91" w:rsidP="009C6D91">
            <w:pPr>
              <w:jc w:val="center"/>
              <w:rPr>
                <w:rFonts w:ascii="Arial Narrow" w:hAnsi="Arial Narrow" w:cs="Arial"/>
                <w:color w:val="000000"/>
                <w:sz w:val="24"/>
                <w:szCs w:val="24"/>
              </w:rPr>
            </w:pPr>
            <w:r w:rsidRPr="00CD728B">
              <w:rPr>
                <w:rFonts w:ascii="Arial Narrow" w:hAnsi="Arial Narrow" w:cs="Arial"/>
                <w:color w:val="000000"/>
                <w:sz w:val="24"/>
                <w:szCs w:val="24"/>
              </w:rPr>
              <w:t>56.62</w:t>
            </w:r>
          </w:p>
        </w:tc>
        <w:tc>
          <w:tcPr>
            <w:tcW w:w="1427" w:type="dxa"/>
            <w:tcBorders>
              <w:top w:val="nil"/>
              <w:left w:val="nil"/>
              <w:bottom w:val="single" w:sz="8" w:space="0" w:color="auto"/>
              <w:right w:val="single" w:sz="8" w:space="0" w:color="auto"/>
            </w:tcBorders>
            <w:shd w:val="clear" w:color="auto" w:fill="auto"/>
            <w:noWrap/>
            <w:vAlign w:val="bottom"/>
            <w:hideMark/>
          </w:tcPr>
          <w:p w:rsidR="009C6D91" w:rsidRPr="00CD728B" w:rsidRDefault="009C6D91" w:rsidP="009C6D91">
            <w:pPr>
              <w:jc w:val="center"/>
              <w:rPr>
                <w:rFonts w:ascii="Arial Narrow" w:hAnsi="Arial Narrow" w:cs="Arial"/>
                <w:color w:val="000000"/>
                <w:sz w:val="24"/>
                <w:szCs w:val="24"/>
              </w:rPr>
            </w:pPr>
            <w:r w:rsidRPr="00CD728B">
              <w:rPr>
                <w:rFonts w:ascii="Arial Narrow" w:hAnsi="Arial Narrow" w:cs="Arial"/>
                <w:color w:val="000000"/>
                <w:sz w:val="24"/>
                <w:szCs w:val="24"/>
              </w:rPr>
              <w:t>52.21</w:t>
            </w:r>
          </w:p>
        </w:tc>
        <w:tc>
          <w:tcPr>
            <w:tcW w:w="1114" w:type="dxa"/>
            <w:tcBorders>
              <w:top w:val="nil"/>
              <w:left w:val="nil"/>
              <w:bottom w:val="single" w:sz="8" w:space="0" w:color="auto"/>
              <w:right w:val="single" w:sz="8" w:space="0" w:color="auto"/>
            </w:tcBorders>
            <w:shd w:val="clear" w:color="auto" w:fill="auto"/>
            <w:noWrap/>
            <w:vAlign w:val="bottom"/>
            <w:hideMark/>
          </w:tcPr>
          <w:p w:rsidR="009C6D91" w:rsidRPr="00CD728B" w:rsidRDefault="009C6D91" w:rsidP="009C6D91">
            <w:pPr>
              <w:jc w:val="center"/>
              <w:rPr>
                <w:rFonts w:ascii="Arial Narrow" w:hAnsi="Arial Narrow" w:cs="Arial"/>
                <w:color w:val="000000"/>
                <w:sz w:val="24"/>
                <w:szCs w:val="24"/>
              </w:rPr>
            </w:pPr>
            <w:r w:rsidRPr="00CD728B">
              <w:rPr>
                <w:rFonts w:ascii="Arial Narrow" w:hAnsi="Arial Narrow" w:cs="Arial"/>
                <w:color w:val="000000"/>
                <w:sz w:val="24"/>
                <w:szCs w:val="24"/>
              </w:rPr>
              <w:t>61.03</w:t>
            </w:r>
          </w:p>
        </w:tc>
      </w:tr>
      <w:tr w:rsidR="009C6D91" w:rsidRPr="00CD728B" w:rsidTr="006C722A">
        <w:trPr>
          <w:trHeight w:val="345"/>
          <w:jc w:val="center"/>
        </w:trPr>
        <w:tc>
          <w:tcPr>
            <w:tcW w:w="3745" w:type="dxa"/>
            <w:tcBorders>
              <w:top w:val="nil"/>
              <w:left w:val="single" w:sz="8" w:space="0" w:color="auto"/>
              <w:bottom w:val="single" w:sz="8" w:space="0" w:color="auto"/>
              <w:right w:val="single" w:sz="8" w:space="0" w:color="auto"/>
            </w:tcBorders>
            <w:shd w:val="clear" w:color="auto" w:fill="auto"/>
            <w:noWrap/>
            <w:vAlign w:val="bottom"/>
            <w:hideMark/>
          </w:tcPr>
          <w:p w:rsidR="009C6D91" w:rsidRPr="00CD728B" w:rsidRDefault="009C6D91" w:rsidP="009C6D91">
            <w:pPr>
              <w:rPr>
                <w:rFonts w:ascii="Arial Narrow" w:hAnsi="Arial Narrow" w:cs="Arial"/>
                <w:color w:val="000000"/>
                <w:sz w:val="24"/>
                <w:szCs w:val="24"/>
              </w:rPr>
            </w:pPr>
            <w:r w:rsidRPr="00CD728B">
              <w:rPr>
                <w:rFonts w:ascii="Arial Narrow" w:hAnsi="Arial Narrow" w:cs="Arial"/>
                <w:color w:val="000000"/>
                <w:sz w:val="24"/>
                <w:szCs w:val="24"/>
              </w:rPr>
              <w:t>Encuentro Social en la Ciudad de México</w:t>
            </w:r>
          </w:p>
        </w:tc>
        <w:tc>
          <w:tcPr>
            <w:tcW w:w="1065" w:type="dxa"/>
            <w:tcBorders>
              <w:top w:val="nil"/>
              <w:left w:val="nil"/>
              <w:bottom w:val="single" w:sz="8" w:space="0" w:color="auto"/>
              <w:right w:val="single" w:sz="8" w:space="0" w:color="auto"/>
            </w:tcBorders>
            <w:shd w:val="clear" w:color="auto" w:fill="C9C9C9" w:themeFill="accent3" w:themeFillTint="99"/>
            <w:noWrap/>
            <w:vAlign w:val="bottom"/>
            <w:hideMark/>
          </w:tcPr>
          <w:p w:rsidR="009C6D91" w:rsidRPr="00CD728B" w:rsidRDefault="009C6D91" w:rsidP="009C6D91">
            <w:pPr>
              <w:jc w:val="center"/>
              <w:rPr>
                <w:rFonts w:ascii="Arial Narrow" w:hAnsi="Arial Narrow" w:cs="Arial"/>
                <w:color w:val="000000"/>
                <w:sz w:val="24"/>
                <w:szCs w:val="24"/>
              </w:rPr>
            </w:pPr>
            <w:r w:rsidRPr="00CD728B">
              <w:rPr>
                <w:rFonts w:ascii="Arial Narrow" w:hAnsi="Arial Narrow" w:cs="Arial"/>
                <w:color w:val="000000"/>
                <w:sz w:val="24"/>
                <w:szCs w:val="24"/>
              </w:rPr>
              <w:t>45.79</w:t>
            </w:r>
          </w:p>
        </w:tc>
        <w:tc>
          <w:tcPr>
            <w:tcW w:w="1427" w:type="dxa"/>
            <w:tcBorders>
              <w:top w:val="nil"/>
              <w:left w:val="nil"/>
              <w:bottom w:val="single" w:sz="8" w:space="0" w:color="auto"/>
              <w:right w:val="single" w:sz="8" w:space="0" w:color="auto"/>
            </w:tcBorders>
            <w:shd w:val="clear" w:color="auto" w:fill="auto"/>
            <w:noWrap/>
            <w:vAlign w:val="bottom"/>
            <w:hideMark/>
          </w:tcPr>
          <w:p w:rsidR="009C6D91" w:rsidRPr="00CD728B" w:rsidRDefault="009C6D91" w:rsidP="009C6D91">
            <w:pPr>
              <w:jc w:val="center"/>
              <w:rPr>
                <w:rFonts w:ascii="Arial Narrow" w:hAnsi="Arial Narrow" w:cs="Arial"/>
                <w:color w:val="000000"/>
                <w:sz w:val="24"/>
                <w:szCs w:val="24"/>
              </w:rPr>
            </w:pPr>
            <w:r w:rsidRPr="00CD728B">
              <w:rPr>
                <w:rFonts w:ascii="Arial Narrow" w:hAnsi="Arial Narrow" w:cs="Arial"/>
                <w:color w:val="000000"/>
                <w:sz w:val="24"/>
                <w:szCs w:val="24"/>
              </w:rPr>
              <w:t>44.30</w:t>
            </w:r>
          </w:p>
        </w:tc>
        <w:tc>
          <w:tcPr>
            <w:tcW w:w="1114" w:type="dxa"/>
            <w:tcBorders>
              <w:top w:val="nil"/>
              <w:left w:val="nil"/>
              <w:bottom w:val="single" w:sz="8" w:space="0" w:color="auto"/>
              <w:right w:val="single" w:sz="8" w:space="0" w:color="auto"/>
            </w:tcBorders>
            <w:shd w:val="clear" w:color="auto" w:fill="auto"/>
            <w:noWrap/>
            <w:vAlign w:val="bottom"/>
            <w:hideMark/>
          </w:tcPr>
          <w:p w:rsidR="009C6D91" w:rsidRPr="00CD728B" w:rsidRDefault="009C6D91" w:rsidP="009C6D91">
            <w:pPr>
              <w:jc w:val="center"/>
              <w:rPr>
                <w:rFonts w:ascii="Arial Narrow" w:hAnsi="Arial Narrow" w:cs="Arial"/>
                <w:color w:val="000000"/>
                <w:sz w:val="24"/>
                <w:szCs w:val="24"/>
              </w:rPr>
            </w:pPr>
            <w:r w:rsidRPr="00CD728B">
              <w:rPr>
                <w:rFonts w:ascii="Arial Narrow" w:hAnsi="Arial Narrow" w:cs="Arial"/>
                <w:color w:val="000000"/>
                <w:sz w:val="24"/>
                <w:szCs w:val="24"/>
              </w:rPr>
              <w:t>47.28</w:t>
            </w:r>
          </w:p>
        </w:tc>
      </w:tr>
      <w:tr w:rsidR="009C6D91" w:rsidRPr="00CD728B" w:rsidTr="006C722A">
        <w:trPr>
          <w:trHeight w:val="345"/>
          <w:jc w:val="center"/>
        </w:trPr>
        <w:tc>
          <w:tcPr>
            <w:tcW w:w="3745" w:type="dxa"/>
            <w:tcBorders>
              <w:top w:val="nil"/>
              <w:left w:val="single" w:sz="8" w:space="0" w:color="auto"/>
              <w:bottom w:val="single" w:sz="4" w:space="0" w:color="auto"/>
              <w:right w:val="single" w:sz="8" w:space="0" w:color="auto"/>
            </w:tcBorders>
            <w:shd w:val="clear" w:color="auto" w:fill="auto"/>
            <w:noWrap/>
            <w:vAlign w:val="bottom"/>
            <w:hideMark/>
          </w:tcPr>
          <w:p w:rsidR="009C6D91" w:rsidRPr="00CD728B" w:rsidRDefault="009C6D91" w:rsidP="009C6D91">
            <w:pPr>
              <w:rPr>
                <w:rFonts w:ascii="Arial Narrow" w:hAnsi="Arial Narrow" w:cs="Arial"/>
                <w:color w:val="000000"/>
                <w:sz w:val="24"/>
                <w:szCs w:val="24"/>
              </w:rPr>
            </w:pPr>
            <w:r w:rsidRPr="00CD728B">
              <w:rPr>
                <w:rFonts w:ascii="Arial Narrow" w:hAnsi="Arial Narrow" w:cs="Arial"/>
                <w:color w:val="000000"/>
                <w:sz w:val="24"/>
                <w:szCs w:val="24"/>
              </w:rPr>
              <w:t>MORENA en la Ciudad de México</w:t>
            </w:r>
          </w:p>
        </w:tc>
        <w:tc>
          <w:tcPr>
            <w:tcW w:w="1065" w:type="dxa"/>
            <w:tcBorders>
              <w:top w:val="nil"/>
              <w:left w:val="nil"/>
              <w:bottom w:val="single" w:sz="4" w:space="0" w:color="auto"/>
              <w:right w:val="single" w:sz="8" w:space="0" w:color="auto"/>
            </w:tcBorders>
            <w:shd w:val="clear" w:color="auto" w:fill="C9C9C9" w:themeFill="accent3" w:themeFillTint="99"/>
            <w:noWrap/>
            <w:vAlign w:val="bottom"/>
            <w:hideMark/>
          </w:tcPr>
          <w:p w:rsidR="009C6D91" w:rsidRPr="00CD728B" w:rsidRDefault="009C6D91" w:rsidP="009C6D91">
            <w:pPr>
              <w:jc w:val="center"/>
              <w:rPr>
                <w:rFonts w:ascii="Arial Narrow" w:hAnsi="Arial Narrow" w:cs="Arial"/>
                <w:color w:val="000000"/>
                <w:sz w:val="24"/>
                <w:szCs w:val="24"/>
              </w:rPr>
            </w:pPr>
            <w:r w:rsidRPr="00CD728B">
              <w:rPr>
                <w:rFonts w:ascii="Arial Narrow" w:hAnsi="Arial Narrow" w:cs="Arial"/>
                <w:color w:val="000000"/>
                <w:sz w:val="24"/>
                <w:szCs w:val="24"/>
              </w:rPr>
              <w:t>31.38</w:t>
            </w:r>
          </w:p>
        </w:tc>
        <w:tc>
          <w:tcPr>
            <w:tcW w:w="1427" w:type="dxa"/>
            <w:tcBorders>
              <w:top w:val="nil"/>
              <w:left w:val="nil"/>
              <w:bottom w:val="single" w:sz="4" w:space="0" w:color="auto"/>
              <w:right w:val="single" w:sz="8" w:space="0" w:color="auto"/>
            </w:tcBorders>
            <w:shd w:val="clear" w:color="auto" w:fill="auto"/>
            <w:noWrap/>
            <w:vAlign w:val="bottom"/>
            <w:hideMark/>
          </w:tcPr>
          <w:p w:rsidR="009C6D91" w:rsidRPr="00CD728B" w:rsidRDefault="009C6D91" w:rsidP="009C6D91">
            <w:pPr>
              <w:jc w:val="center"/>
              <w:rPr>
                <w:rFonts w:ascii="Arial Narrow" w:hAnsi="Arial Narrow" w:cs="Arial"/>
                <w:color w:val="000000"/>
                <w:sz w:val="24"/>
                <w:szCs w:val="24"/>
              </w:rPr>
            </w:pPr>
            <w:r w:rsidRPr="00CD728B">
              <w:rPr>
                <w:rFonts w:ascii="Arial Narrow" w:hAnsi="Arial Narrow" w:cs="Arial"/>
                <w:color w:val="000000"/>
                <w:sz w:val="24"/>
                <w:szCs w:val="24"/>
              </w:rPr>
              <w:t>34.25</w:t>
            </w:r>
          </w:p>
        </w:tc>
        <w:tc>
          <w:tcPr>
            <w:tcW w:w="1114" w:type="dxa"/>
            <w:tcBorders>
              <w:top w:val="nil"/>
              <w:left w:val="nil"/>
              <w:bottom w:val="single" w:sz="4" w:space="0" w:color="auto"/>
              <w:right w:val="single" w:sz="8" w:space="0" w:color="auto"/>
            </w:tcBorders>
            <w:shd w:val="clear" w:color="auto" w:fill="auto"/>
            <w:noWrap/>
            <w:vAlign w:val="bottom"/>
            <w:hideMark/>
          </w:tcPr>
          <w:p w:rsidR="009C6D91" w:rsidRPr="00CD728B" w:rsidRDefault="009C6D91" w:rsidP="009C6D91">
            <w:pPr>
              <w:jc w:val="center"/>
              <w:rPr>
                <w:rFonts w:ascii="Arial Narrow" w:hAnsi="Arial Narrow" w:cs="Arial"/>
                <w:color w:val="000000"/>
                <w:sz w:val="24"/>
                <w:szCs w:val="24"/>
              </w:rPr>
            </w:pPr>
            <w:r w:rsidRPr="00CD728B">
              <w:rPr>
                <w:rFonts w:ascii="Arial Narrow" w:hAnsi="Arial Narrow" w:cs="Arial"/>
                <w:color w:val="000000"/>
                <w:sz w:val="24"/>
                <w:szCs w:val="24"/>
              </w:rPr>
              <w:t>28.51</w:t>
            </w:r>
          </w:p>
        </w:tc>
      </w:tr>
      <w:tr w:rsidR="009C6D91" w:rsidRPr="00CD728B" w:rsidTr="006C722A">
        <w:trPr>
          <w:trHeight w:val="345"/>
          <w:jc w:val="center"/>
        </w:trPr>
        <w:tc>
          <w:tcPr>
            <w:tcW w:w="3745"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6D91" w:rsidRPr="00CD728B" w:rsidRDefault="009C6D91" w:rsidP="009C6D91">
            <w:pPr>
              <w:rPr>
                <w:rFonts w:ascii="Arial Narrow" w:hAnsi="Arial Narrow" w:cs="Arial"/>
                <w:color w:val="000000"/>
                <w:sz w:val="24"/>
                <w:szCs w:val="24"/>
              </w:rPr>
            </w:pPr>
            <w:r w:rsidRPr="00CD728B">
              <w:rPr>
                <w:rFonts w:ascii="Arial Narrow" w:hAnsi="Arial Narrow" w:cs="Arial"/>
                <w:color w:val="000000"/>
                <w:sz w:val="24"/>
                <w:szCs w:val="24"/>
              </w:rPr>
              <w:t>Nueva Alianza en la Ciudad de México</w:t>
            </w:r>
          </w:p>
        </w:tc>
        <w:tc>
          <w:tcPr>
            <w:tcW w:w="1065" w:type="dxa"/>
            <w:tcBorders>
              <w:top w:val="single" w:sz="4" w:space="0" w:color="auto"/>
              <w:left w:val="single" w:sz="4" w:space="0" w:color="auto"/>
              <w:bottom w:val="single" w:sz="4" w:space="0" w:color="auto"/>
              <w:right w:val="single" w:sz="4" w:space="0" w:color="auto"/>
            </w:tcBorders>
            <w:shd w:val="clear" w:color="auto" w:fill="C9C9C9" w:themeFill="accent3" w:themeFillTint="99"/>
            <w:noWrap/>
            <w:vAlign w:val="bottom"/>
          </w:tcPr>
          <w:p w:rsidR="009C6D91" w:rsidRPr="00CD728B" w:rsidRDefault="009C6D91" w:rsidP="009C6D91">
            <w:pPr>
              <w:jc w:val="center"/>
              <w:rPr>
                <w:rFonts w:ascii="Arial Narrow" w:hAnsi="Arial Narrow" w:cs="Arial"/>
                <w:color w:val="000000"/>
                <w:sz w:val="24"/>
                <w:szCs w:val="24"/>
              </w:rPr>
            </w:pPr>
            <w:r w:rsidRPr="00CD728B">
              <w:rPr>
                <w:rFonts w:ascii="Arial Narrow" w:hAnsi="Arial Narrow" w:cs="Arial"/>
                <w:color w:val="000000"/>
                <w:sz w:val="24"/>
                <w:szCs w:val="24"/>
              </w:rPr>
              <w:t>21.09</w:t>
            </w: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6D91" w:rsidRPr="00CD728B" w:rsidRDefault="009C6D91" w:rsidP="009C6D91">
            <w:pPr>
              <w:jc w:val="center"/>
              <w:rPr>
                <w:rFonts w:ascii="Arial Narrow" w:hAnsi="Arial Narrow" w:cs="Arial"/>
                <w:color w:val="000000"/>
                <w:sz w:val="24"/>
                <w:szCs w:val="24"/>
              </w:rPr>
            </w:pPr>
            <w:r w:rsidRPr="00CD728B">
              <w:rPr>
                <w:rFonts w:ascii="Arial Narrow" w:hAnsi="Arial Narrow" w:cs="Arial"/>
                <w:color w:val="000000"/>
                <w:sz w:val="24"/>
                <w:szCs w:val="24"/>
              </w:rPr>
              <w:t>18.59</w:t>
            </w:r>
          </w:p>
        </w:tc>
        <w:tc>
          <w:tcPr>
            <w:tcW w:w="111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6D91" w:rsidRPr="00CD728B" w:rsidRDefault="009C6D91" w:rsidP="009C6D91">
            <w:pPr>
              <w:jc w:val="center"/>
              <w:rPr>
                <w:rFonts w:ascii="Arial Narrow" w:hAnsi="Arial Narrow" w:cs="Arial"/>
                <w:color w:val="000000"/>
                <w:sz w:val="24"/>
                <w:szCs w:val="24"/>
              </w:rPr>
            </w:pPr>
            <w:r w:rsidRPr="00CD728B">
              <w:rPr>
                <w:rFonts w:ascii="Arial Narrow" w:hAnsi="Arial Narrow" w:cs="Arial"/>
                <w:color w:val="000000"/>
                <w:sz w:val="24"/>
                <w:szCs w:val="24"/>
              </w:rPr>
              <w:t>23.59</w:t>
            </w:r>
          </w:p>
        </w:tc>
      </w:tr>
    </w:tbl>
    <w:p w:rsidR="006C722A" w:rsidRPr="006C722A" w:rsidRDefault="006C722A" w:rsidP="006C722A">
      <w:pPr>
        <w:spacing w:before="100" w:beforeAutospacing="1" w:after="100" w:afterAutospacing="1" w:line="360" w:lineRule="auto"/>
        <w:contextualSpacing/>
        <w:jc w:val="both"/>
        <w:rPr>
          <w:rFonts w:ascii="Arial Narrow" w:hAnsi="Arial Narrow" w:cs="Arial"/>
          <w:sz w:val="20"/>
          <w:szCs w:val="24"/>
        </w:rPr>
      </w:pPr>
      <w:r w:rsidRPr="006C722A">
        <w:rPr>
          <w:rFonts w:ascii="Arial Narrow" w:hAnsi="Arial Narrow" w:cs="Arial"/>
          <w:b/>
          <w:sz w:val="20"/>
          <w:szCs w:val="24"/>
        </w:rPr>
        <w:t>Nota metodológica</w:t>
      </w:r>
      <w:r w:rsidRPr="006C722A">
        <w:rPr>
          <w:rFonts w:ascii="Arial Narrow" w:hAnsi="Arial Narrow" w:cs="Arial"/>
          <w:sz w:val="20"/>
          <w:szCs w:val="24"/>
        </w:rPr>
        <w:t>: El IGOT se</w:t>
      </w:r>
      <w:r w:rsidR="00623A69">
        <w:rPr>
          <w:rFonts w:ascii="Arial Narrow" w:hAnsi="Arial Narrow" w:cs="Arial"/>
          <w:sz w:val="20"/>
          <w:szCs w:val="24"/>
        </w:rPr>
        <w:t xml:space="preserve"> compone del promedio de ICOT-PT</w:t>
      </w:r>
      <w:r w:rsidRPr="006C722A">
        <w:rPr>
          <w:rFonts w:ascii="Arial Narrow" w:hAnsi="Arial Narrow" w:cs="Arial"/>
          <w:sz w:val="20"/>
          <w:szCs w:val="24"/>
        </w:rPr>
        <w:t xml:space="preserve"> e ICOT-PNT.</w:t>
      </w:r>
    </w:p>
    <w:p w:rsidR="00D50026" w:rsidRPr="00CD728B" w:rsidRDefault="00D50026"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lastRenderedPageBreak/>
        <w:t xml:space="preserve">En atención a la Tabla de Aplicabilidad realizada por la DEAEE del Instituto, las obligaciones que los partidos políticos deben actualizar y publicar en el SIPOT de PNT, así como en sus respectivos portales de internet son las contempladas en los siguientes </w:t>
      </w:r>
      <w:r w:rsidR="009D7771">
        <w:rPr>
          <w:rFonts w:ascii="Arial Narrow" w:hAnsi="Arial Narrow" w:cs="Arial"/>
          <w:sz w:val="24"/>
          <w:szCs w:val="24"/>
        </w:rPr>
        <w:t>Artículo</w:t>
      </w:r>
      <w:r w:rsidRPr="00CD728B">
        <w:rPr>
          <w:rFonts w:ascii="Arial Narrow" w:hAnsi="Arial Narrow" w:cs="Arial"/>
          <w:sz w:val="24"/>
          <w:szCs w:val="24"/>
        </w:rPr>
        <w:t xml:space="preserve">s: </w:t>
      </w:r>
    </w:p>
    <w:p w:rsidR="00D50026" w:rsidRPr="00CD728B" w:rsidRDefault="009D7771" w:rsidP="002E7D47">
      <w:pPr>
        <w:pStyle w:val="Prrafodelista"/>
        <w:numPr>
          <w:ilvl w:val="0"/>
          <w:numId w:val="27"/>
        </w:numPr>
        <w:spacing w:before="100" w:beforeAutospacing="1" w:after="100" w:afterAutospacing="1" w:line="360" w:lineRule="auto"/>
        <w:jc w:val="both"/>
        <w:rPr>
          <w:rFonts w:ascii="Arial Narrow" w:hAnsi="Arial Narrow" w:cs="Arial"/>
          <w:sz w:val="24"/>
          <w:szCs w:val="24"/>
          <w:lang w:val="es-ES_tradnl"/>
        </w:rPr>
      </w:pPr>
      <w:r>
        <w:rPr>
          <w:rFonts w:ascii="Arial Narrow" w:hAnsi="Arial Narrow" w:cs="Arial"/>
          <w:sz w:val="24"/>
          <w:szCs w:val="24"/>
          <w:lang w:val="es-ES_tradnl"/>
        </w:rPr>
        <w:t>Artículo</w:t>
      </w:r>
      <w:r w:rsidR="00D50026" w:rsidRPr="00CD728B">
        <w:rPr>
          <w:rFonts w:ascii="Arial Narrow" w:hAnsi="Arial Narrow" w:cs="Arial"/>
          <w:sz w:val="24"/>
          <w:szCs w:val="24"/>
          <w:lang w:val="es-ES_tradnl"/>
        </w:rPr>
        <w:t xml:space="preserve"> 121. Obligaciones comunes, </w:t>
      </w:r>
    </w:p>
    <w:p w:rsidR="00D50026" w:rsidRPr="00CD728B" w:rsidRDefault="009D7771" w:rsidP="002E7D47">
      <w:pPr>
        <w:pStyle w:val="Prrafodelista"/>
        <w:numPr>
          <w:ilvl w:val="0"/>
          <w:numId w:val="27"/>
        </w:numPr>
        <w:spacing w:before="100" w:beforeAutospacing="1" w:after="100" w:afterAutospacing="1" w:line="360" w:lineRule="auto"/>
        <w:jc w:val="both"/>
        <w:rPr>
          <w:rFonts w:ascii="Arial Narrow" w:hAnsi="Arial Narrow" w:cs="Arial"/>
          <w:sz w:val="24"/>
          <w:szCs w:val="24"/>
          <w:lang w:val="es-ES_tradnl"/>
        </w:rPr>
      </w:pPr>
      <w:r>
        <w:rPr>
          <w:rFonts w:ascii="Arial Narrow" w:hAnsi="Arial Narrow" w:cs="Arial"/>
          <w:sz w:val="24"/>
          <w:szCs w:val="24"/>
          <w:lang w:val="es-ES_tradnl"/>
        </w:rPr>
        <w:t>Artículo</w:t>
      </w:r>
      <w:r w:rsidR="00D50026" w:rsidRPr="00CD728B">
        <w:rPr>
          <w:rFonts w:ascii="Arial Narrow" w:hAnsi="Arial Narrow" w:cs="Arial"/>
          <w:sz w:val="24"/>
          <w:szCs w:val="24"/>
          <w:lang w:val="es-ES_tradnl"/>
        </w:rPr>
        <w:t xml:space="preserve"> 122. Obligaciones comunes que únicamente le son aplicables a la Secretaría de Desarrollo Social, la Secretaría de Medio Ambiente, la Secretaría de Educación, la Secretaría de Desarrollo Rural y Equidad para las Comunidades, la Secretaría de Ciencia, Tecnología e Innovación y la Secretaría de Trabajo y Fomento al Empleo. </w:t>
      </w:r>
    </w:p>
    <w:p w:rsidR="00D50026" w:rsidRPr="00CD728B" w:rsidRDefault="009D7771" w:rsidP="002E7D47">
      <w:pPr>
        <w:pStyle w:val="Prrafodelista"/>
        <w:numPr>
          <w:ilvl w:val="0"/>
          <w:numId w:val="27"/>
        </w:numPr>
        <w:spacing w:before="100" w:beforeAutospacing="1" w:after="100" w:afterAutospacing="1" w:line="360" w:lineRule="auto"/>
        <w:jc w:val="both"/>
        <w:rPr>
          <w:rFonts w:ascii="Arial Narrow" w:hAnsi="Arial Narrow" w:cs="Arial"/>
          <w:sz w:val="24"/>
          <w:szCs w:val="24"/>
          <w:lang w:val="es-ES_tradnl"/>
        </w:rPr>
      </w:pPr>
      <w:r>
        <w:rPr>
          <w:rFonts w:ascii="Arial Narrow" w:hAnsi="Arial Narrow" w:cs="Arial"/>
          <w:sz w:val="24"/>
          <w:szCs w:val="24"/>
          <w:lang w:val="es-ES_tradnl"/>
        </w:rPr>
        <w:t>Artículo</w:t>
      </w:r>
      <w:r w:rsidR="00D50026" w:rsidRPr="00CD728B">
        <w:rPr>
          <w:rFonts w:ascii="Arial Narrow" w:hAnsi="Arial Narrow" w:cs="Arial"/>
          <w:sz w:val="24"/>
          <w:szCs w:val="24"/>
          <w:lang w:val="es-ES_tradnl"/>
        </w:rPr>
        <w:t xml:space="preserve"> 129. Obligaciones específicas de los Partidos Políticos,</w:t>
      </w:r>
    </w:p>
    <w:p w:rsidR="00D50026" w:rsidRPr="00CD728B" w:rsidRDefault="009D7771" w:rsidP="002E7D47">
      <w:pPr>
        <w:pStyle w:val="Prrafodelista"/>
        <w:numPr>
          <w:ilvl w:val="0"/>
          <w:numId w:val="27"/>
        </w:numPr>
        <w:spacing w:before="100" w:beforeAutospacing="1" w:after="100" w:afterAutospacing="1" w:line="360" w:lineRule="auto"/>
        <w:jc w:val="both"/>
        <w:rPr>
          <w:rFonts w:ascii="Arial Narrow" w:hAnsi="Arial Narrow" w:cs="Arial"/>
          <w:sz w:val="24"/>
          <w:szCs w:val="24"/>
          <w:lang w:val="es-ES_tradnl"/>
        </w:rPr>
      </w:pPr>
      <w:r>
        <w:rPr>
          <w:rFonts w:ascii="Arial Narrow" w:hAnsi="Arial Narrow" w:cs="Arial"/>
          <w:sz w:val="24"/>
          <w:szCs w:val="24"/>
          <w:lang w:val="es-ES_tradnl"/>
        </w:rPr>
        <w:t>Artículo</w:t>
      </w:r>
      <w:r w:rsidR="00D50026" w:rsidRPr="00CD728B">
        <w:rPr>
          <w:rFonts w:ascii="Arial Narrow" w:hAnsi="Arial Narrow" w:cs="Arial"/>
          <w:sz w:val="24"/>
          <w:szCs w:val="24"/>
          <w:lang w:val="es-ES_tradnl"/>
        </w:rPr>
        <w:t xml:space="preserve"> 145. Disposiciones Particulares, y</w:t>
      </w:r>
    </w:p>
    <w:p w:rsidR="00D50026" w:rsidRPr="00CD728B" w:rsidRDefault="009D7771" w:rsidP="002E7D47">
      <w:pPr>
        <w:pStyle w:val="Prrafodelista"/>
        <w:numPr>
          <w:ilvl w:val="0"/>
          <w:numId w:val="27"/>
        </w:numPr>
        <w:spacing w:before="100" w:beforeAutospacing="1" w:after="100" w:afterAutospacing="1" w:line="360" w:lineRule="auto"/>
        <w:jc w:val="both"/>
        <w:rPr>
          <w:rFonts w:ascii="Arial Narrow" w:hAnsi="Arial Narrow" w:cs="Arial"/>
          <w:sz w:val="24"/>
          <w:szCs w:val="24"/>
          <w:lang w:val="es-ES_tradnl"/>
        </w:rPr>
      </w:pPr>
      <w:r>
        <w:rPr>
          <w:rFonts w:ascii="Arial Narrow" w:hAnsi="Arial Narrow" w:cs="Arial"/>
          <w:sz w:val="24"/>
          <w:szCs w:val="24"/>
          <w:lang w:val="es-ES_tradnl"/>
        </w:rPr>
        <w:t>Artículo</w:t>
      </w:r>
      <w:r w:rsidR="00D50026" w:rsidRPr="00CD728B">
        <w:rPr>
          <w:rFonts w:ascii="Arial Narrow" w:hAnsi="Arial Narrow" w:cs="Arial"/>
          <w:sz w:val="24"/>
          <w:szCs w:val="24"/>
          <w:lang w:val="es-ES_tradnl"/>
        </w:rPr>
        <w:t xml:space="preserve"> 146. Disposiciones Particulares. </w:t>
      </w:r>
    </w:p>
    <w:p w:rsidR="00D50026" w:rsidRPr="00CD728B" w:rsidRDefault="00D50026" w:rsidP="002E7D47">
      <w:pPr>
        <w:pStyle w:val="Ttulo3"/>
        <w:numPr>
          <w:ilvl w:val="1"/>
          <w:numId w:val="28"/>
        </w:numPr>
        <w:contextualSpacing/>
        <w:jc w:val="both"/>
        <w:rPr>
          <w:rFonts w:ascii="Arial Narrow" w:hAnsi="Arial Narrow"/>
          <w:b/>
          <w:color w:val="auto"/>
        </w:rPr>
      </w:pPr>
      <w:bookmarkStart w:id="76" w:name="_Toc14293777"/>
      <w:r w:rsidRPr="00CD728B">
        <w:rPr>
          <w:rFonts w:ascii="Arial Narrow" w:hAnsi="Arial Narrow"/>
          <w:b/>
          <w:color w:val="auto"/>
        </w:rPr>
        <w:t>Análisis global de cumplimiento de los Partidos Políticos de la Ciudad de México</w:t>
      </w:r>
      <w:bookmarkEnd w:id="76"/>
      <w:r w:rsidRPr="00CD728B">
        <w:rPr>
          <w:rFonts w:ascii="Arial Narrow" w:hAnsi="Arial Narrow"/>
          <w:b/>
          <w:color w:val="auto"/>
        </w:rPr>
        <w:t xml:space="preserve"> </w:t>
      </w:r>
    </w:p>
    <w:p w:rsidR="00D50026" w:rsidRPr="00CD728B" w:rsidRDefault="00D50026" w:rsidP="002E7D47">
      <w:pPr>
        <w:spacing w:before="100" w:beforeAutospacing="1" w:after="100" w:afterAutospacing="1" w:line="360" w:lineRule="auto"/>
        <w:contextualSpacing/>
        <w:jc w:val="both"/>
        <w:rPr>
          <w:rFonts w:ascii="Arial Narrow" w:hAnsi="Arial Narrow" w:cs="Arial"/>
          <w:sz w:val="24"/>
          <w:szCs w:val="24"/>
          <w:u w:val="single"/>
        </w:rPr>
      </w:pPr>
      <w:r w:rsidRPr="00CD728B">
        <w:rPr>
          <w:rFonts w:ascii="Arial Narrow" w:hAnsi="Arial Narrow" w:cs="Arial"/>
          <w:sz w:val="24"/>
          <w:szCs w:val="24"/>
          <w:u w:val="single"/>
        </w:rPr>
        <w:t>Índices Globales de Cumplimiento de los Partidos Políticos de la Ciudad de México</w:t>
      </w:r>
    </w:p>
    <w:p w:rsidR="00887075" w:rsidRPr="00CD728B" w:rsidRDefault="00887075" w:rsidP="002E7D47">
      <w:pPr>
        <w:spacing w:before="100" w:beforeAutospacing="1" w:after="100" w:afterAutospacing="1" w:line="360" w:lineRule="auto"/>
        <w:contextualSpacing/>
        <w:jc w:val="both"/>
        <w:rPr>
          <w:rFonts w:ascii="Arial Narrow" w:hAnsi="Arial Narrow" w:cs="Arial"/>
          <w:sz w:val="24"/>
          <w:szCs w:val="24"/>
          <w:u w:val="single"/>
        </w:rPr>
      </w:pPr>
    </w:p>
    <w:p w:rsidR="00D50026" w:rsidRPr="00CD728B" w:rsidRDefault="00D50026"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 xml:space="preserve">Con relación al IGOT, la calificación más alta fue de 100 y las más baja de 21.09; obteniendo una calificación promedio de </w:t>
      </w:r>
      <w:r w:rsidR="00887075" w:rsidRPr="00CD728B">
        <w:rPr>
          <w:rFonts w:ascii="Arial Narrow" w:hAnsi="Arial Narrow" w:cs="Arial"/>
          <w:sz w:val="24"/>
          <w:szCs w:val="24"/>
        </w:rPr>
        <w:t>64.89</w:t>
      </w:r>
      <w:r w:rsidRPr="00CD728B">
        <w:rPr>
          <w:rFonts w:ascii="Arial Narrow" w:hAnsi="Arial Narrow" w:cs="Arial"/>
          <w:sz w:val="24"/>
          <w:szCs w:val="24"/>
        </w:rPr>
        <w:t>.</w:t>
      </w:r>
    </w:p>
    <w:p w:rsidR="00887075" w:rsidRPr="00CD728B" w:rsidRDefault="00887075" w:rsidP="002E7D47">
      <w:pPr>
        <w:spacing w:before="100" w:beforeAutospacing="1" w:after="100" w:afterAutospacing="1" w:line="360" w:lineRule="auto"/>
        <w:contextualSpacing/>
        <w:jc w:val="both"/>
        <w:rPr>
          <w:rFonts w:ascii="Arial Narrow" w:hAnsi="Arial Narrow" w:cs="Arial"/>
          <w:sz w:val="24"/>
          <w:szCs w:val="24"/>
        </w:rPr>
      </w:pPr>
    </w:p>
    <w:p w:rsidR="00D50026" w:rsidRPr="00CD728B" w:rsidRDefault="009C6D91"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Ocho</w:t>
      </w:r>
      <w:r w:rsidR="00D50026" w:rsidRPr="00CD728B">
        <w:rPr>
          <w:rStyle w:val="Refdenotaalpie"/>
          <w:rFonts w:ascii="Arial Narrow" w:hAnsi="Arial Narrow" w:cs="Arial"/>
          <w:sz w:val="24"/>
          <w:szCs w:val="24"/>
        </w:rPr>
        <w:footnoteReference w:id="60"/>
      </w:r>
      <w:r w:rsidR="00D50026" w:rsidRPr="00CD728B">
        <w:rPr>
          <w:rFonts w:ascii="Arial Narrow" w:hAnsi="Arial Narrow" w:cs="Arial"/>
          <w:sz w:val="24"/>
          <w:szCs w:val="24"/>
        </w:rPr>
        <w:t xml:space="preserve"> </w:t>
      </w:r>
      <w:r w:rsidR="003C3757" w:rsidRPr="00CD728B">
        <w:rPr>
          <w:rFonts w:ascii="Arial Narrow" w:hAnsi="Arial Narrow" w:cs="Arial"/>
          <w:sz w:val="24"/>
          <w:szCs w:val="24"/>
        </w:rPr>
        <w:t>Sujetos Obligados</w:t>
      </w:r>
      <w:r w:rsidR="00D50026" w:rsidRPr="00CD728B">
        <w:rPr>
          <w:rFonts w:ascii="Arial Narrow" w:hAnsi="Arial Narrow" w:cs="Arial"/>
          <w:sz w:val="24"/>
          <w:szCs w:val="24"/>
        </w:rPr>
        <w:t xml:space="preserve"> incumplieron parcialmente obteniendo una calificación entre </w:t>
      </w:r>
      <w:r w:rsidRPr="00CD728B">
        <w:rPr>
          <w:rFonts w:ascii="Arial Narrow" w:hAnsi="Arial Narrow" w:cs="Arial"/>
          <w:sz w:val="24"/>
          <w:szCs w:val="24"/>
        </w:rPr>
        <w:t>94.83</w:t>
      </w:r>
      <w:r w:rsidR="00D50026" w:rsidRPr="00CD728B">
        <w:rPr>
          <w:rFonts w:ascii="Arial Narrow" w:hAnsi="Arial Narrow" w:cs="Arial"/>
          <w:sz w:val="24"/>
          <w:szCs w:val="24"/>
        </w:rPr>
        <w:t>y 21.09; dos</w:t>
      </w:r>
      <w:r w:rsidR="00D50026" w:rsidRPr="00CD728B">
        <w:rPr>
          <w:rStyle w:val="Refdenotaalpie"/>
          <w:rFonts w:ascii="Arial Narrow" w:hAnsi="Arial Narrow" w:cs="Arial"/>
          <w:sz w:val="24"/>
          <w:szCs w:val="24"/>
        </w:rPr>
        <w:footnoteReference w:id="61"/>
      </w:r>
      <w:r w:rsidR="00D50026" w:rsidRPr="00CD728B">
        <w:rPr>
          <w:rFonts w:ascii="Arial Narrow" w:hAnsi="Arial Narrow" w:cs="Arial"/>
          <w:sz w:val="24"/>
          <w:szCs w:val="24"/>
        </w:rPr>
        <w:t xml:space="preserve"> cumplieron totalmente obteniendo una calificación de 100.</w:t>
      </w:r>
    </w:p>
    <w:p w:rsidR="00887075" w:rsidRPr="00CD728B" w:rsidRDefault="00887075" w:rsidP="002E7D47">
      <w:pPr>
        <w:spacing w:before="100" w:beforeAutospacing="1" w:after="100" w:afterAutospacing="1" w:line="360" w:lineRule="auto"/>
        <w:contextualSpacing/>
        <w:jc w:val="both"/>
        <w:rPr>
          <w:rFonts w:ascii="Arial Narrow" w:hAnsi="Arial Narrow" w:cs="Arial"/>
          <w:sz w:val="24"/>
          <w:szCs w:val="24"/>
        </w:rPr>
      </w:pPr>
    </w:p>
    <w:p w:rsidR="00D50026" w:rsidRPr="00CD728B" w:rsidRDefault="00D50026"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lastRenderedPageBreak/>
        <w:t xml:space="preserve">En los partidos políticos existe un grado de cumplimiento de </w:t>
      </w:r>
      <w:r w:rsidR="009C6D91" w:rsidRPr="00CD728B">
        <w:rPr>
          <w:rFonts w:ascii="Arial Narrow" w:hAnsi="Arial Narrow" w:cs="Arial"/>
          <w:sz w:val="24"/>
          <w:szCs w:val="24"/>
        </w:rPr>
        <w:t>64.89</w:t>
      </w:r>
      <w:r w:rsidRPr="00CD728B">
        <w:rPr>
          <w:rFonts w:ascii="Arial Narrow" w:hAnsi="Arial Narrow" w:cs="Arial"/>
          <w:sz w:val="24"/>
          <w:szCs w:val="24"/>
        </w:rPr>
        <w:t xml:space="preserve">% en lo que respecta a la publicación general de la información, </w:t>
      </w:r>
      <w:r w:rsidR="009C6D91" w:rsidRPr="00CD728B">
        <w:rPr>
          <w:rFonts w:ascii="Arial Narrow" w:hAnsi="Arial Narrow" w:cs="Arial"/>
          <w:sz w:val="24"/>
          <w:szCs w:val="24"/>
        </w:rPr>
        <w:t>66.09</w:t>
      </w:r>
      <w:r w:rsidRPr="00CD728B">
        <w:rPr>
          <w:rFonts w:ascii="Arial Narrow" w:hAnsi="Arial Narrow" w:cs="Arial"/>
          <w:sz w:val="24"/>
          <w:szCs w:val="24"/>
        </w:rPr>
        <w:t xml:space="preserve">% sobre la publicación en la PNT y un </w:t>
      </w:r>
      <w:r w:rsidR="009C6D91" w:rsidRPr="00CD728B">
        <w:rPr>
          <w:rFonts w:ascii="Arial Narrow" w:hAnsi="Arial Narrow" w:cs="Arial"/>
          <w:sz w:val="24"/>
          <w:szCs w:val="24"/>
        </w:rPr>
        <w:t>63.69</w:t>
      </w:r>
      <w:r w:rsidRPr="00CD728B">
        <w:rPr>
          <w:rFonts w:ascii="Arial Narrow" w:hAnsi="Arial Narrow" w:cs="Arial"/>
          <w:sz w:val="24"/>
          <w:szCs w:val="24"/>
        </w:rPr>
        <w:t xml:space="preserve">% sobre la publicación en los portales institucionales de dichos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w:t>
      </w:r>
    </w:p>
    <w:p w:rsidR="00887075" w:rsidRPr="00CD728B" w:rsidRDefault="00887075" w:rsidP="002E7D47">
      <w:pPr>
        <w:spacing w:before="100" w:beforeAutospacing="1" w:after="100" w:afterAutospacing="1" w:line="360" w:lineRule="auto"/>
        <w:contextualSpacing/>
        <w:jc w:val="both"/>
        <w:rPr>
          <w:rFonts w:ascii="Arial Narrow" w:hAnsi="Arial Narrow" w:cs="Arial"/>
          <w:sz w:val="24"/>
          <w:szCs w:val="24"/>
        </w:rPr>
      </w:pPr>
    </w:p>
    <w:p w:rsidR="00D50026" w:rsidRPr="00CD728B" w:rsidRDefault="00D50026" w:rsidP="002E7D47">
      <w:pPr>
        <w:spacing w:before="100" w:beforeAutospacing="1" w:after="100" w:afterAutospacing="1" w:line="360" w:lineRule="auto"/>
        <w:contextualSpacing/>
        <w:jc w:val="both"/>
        <w:rPr>
          <w:rFonts w:ascii="Arial Narrow" w:hAnsi="Arial Narrow" w:cs="Arial"/>
          <w:sz w:val="24"/>
          <w:szCs w:val="24"/>
          <w:u w:val="single"/>
        </w:rPr>
      </w:pPr>
      <w:r w:rsidRPr="00CD728B">
        <w:rPr>
          <w:rFonts w:ascii="Arial Narrow" w:hAnsi="Arial Narrow" w:cs="Arial"/>
          <w:sz w:val="24"/>
          <w:szCs w:val="24"/>
          <w:u w:val="single"/>
        </w:rPr>
        <w:t xml:space="preserve">Cumplimiento diferenciado por </w:t>
      </w:r>
      <w:r w:rsidR="009D7771">
        <w:rPr>
          <w:rFonts w:ascii="Arial Narrow" w:hAnsi="Arial Narrow" w:cs="Arial"/>
          <w:sz w:val="24"/>
          <w:szCs w:val="24"/>
          <w:u w:val="single"/>
        </w:rPr>
        <w:t>Artículo</w:t>
      </w:r>
      <w:r w:rsidRPr="00CD728B">
        <w:rPr>
          <w:rFonts w:ascii="Arial Narrow" w:hAnsi="Arial Narrow" w:cs="Arial"/>
          <w:sz w:val="24"/>
          <w:szCs w:val="24"/>
          <w:u w:val="single"/>
        </w:rPr>
        <w:t xml:space="preserve">s </w:t>
      </w:r>
    </w:p>
    <w:p w:rsidR="00887075" w:rsidRPr="00CD728B" w:rsidRDefault="00887075" w:rsidP="002E7D47">
      <w:pPr>
        <w:spacing w:before="100" w:beforeAutospacing="1" w:after="100" w:afterAutospacing="1" w:line="360" w:lineRule="auto"/>
        <w:contextualSpacing/>
        <w:jc w:val="both"/>
        <w:rPr>
          <w:rFonts w:ascii="Arial Narrow" w:hAnsi="Arial Narrow" w:cs="Arial"/>
          <w:sz w:val="24"/>
          <w:szCs w:val="24"/>
          <w:u w:val="single"/>
        </w:rPr>
      </w:pPr>
    </w:p>
    <w:p w:rsidR="00D50026" w:rsidRPr="00CD728B" w:rsidRDefault="00D50026"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Con relación al tipo de obligaciones de transparencia, los partidos políticos han cumplido parcialmente en la publicación y actualizaci</w:t>
      </w:r>
      <w:r w:rsidR="009C6D91" w:rsidRPr="00CD728B">
        <w:rPr>
          <w:rFonts w:ascii="Arial Narrow" w:hAnsi="Arial Narrow" w:cs="Arial"/>
          <w:sz w:val="24"/>
          <w:szCs w:val="24"/>
        </w:rPr>
        <w:t>ón de sus obligaciones comunes, y disposiciones particulares</w:t>
      </w:r>
      <w:r w:rsidRPr="00CD728B">
        <w:rPr>
          <w:rFonts w:ascii="Arial Narrow" w:hAnsi="Arial Narrow" w:cs="Arial"/>
          <w:sz w:val="24"/>
          <w:szCs w:val="24"/>
        </w:rPr>
        <w:t xml:space="preserve">; obteniendo un promedio de cumplimiento de </w:t>
      </w:r>
      <w:r w:rsidR="009C6D91" w:rsidRPr="00CD728B">
        <w:rPr>
          <w:rFonts w:ascii="Arial Narrow" w:hAnsi="Arial Narrow" w:cs="Arial"/>
          <w:sz w:val="24"/>
          <w:szCs w:val="24"/>
        </w:rPr>
        <w:t>65.11% y 82.63%</w:t>
      </w:r>
      <w:r w:rsidRPr="00CD728B">
        <w:rPr>
          <w:rFonts w:ascii="Arial Narrow" w:hAnsi="Arial Narrow" w:cs="Arial"/>
          <w:sz w:val="24"/>
          <w:szCs w:val="24"/>
        </w:rPr>
        <w:t xml:space="preserve"> respectivamente. </w:t>
      </w:r>
      <w:r w:rsidR="009C6D91" w:rsidRPr="00CD728B">
        <w:rPr>
          <w:rFonts w:ascii="Arial Narrow" w:hAnsi="Arial Narrow" w:cs="Arial"/>
          <w:sz w:val="24"/>
          <w:szCs w:val="24"/>
        </w:rPr>
        <w:t>De igual forma, en lo que se refiere a sus obligaciones específicas obtuvieron un incumplimiento parcial de 46.51%.</w:t>
      </w:r>
    </w:p>
    <w:p w:rsidR="009C6D91" w:rsidRPr="00CD728B" w:rsidRDefault="009C6D91" w:rsidP="002E7D47">
      <w:pPr>
        <w:spacing w:before="100" w:beforeAutospacing="1" w:after="100" w:afterAutospacing="1" w:line="360" w:lineRule="auto"/>
        <w:contextualSpacing/>
        <w:jc w:val="both"/>
        <w:rPr>
          <w:rFonts w:ascii="Arial Narrow" w:hAnsi="Arial Narrow" w:cs="Arial"/>
          <w:sz w:val="24"/>
          <w:szCs w:val="24"/>
        </w:rPr>
      </w:pPr>
    </w:p>
    <w:p w:rsidR="00D50026" w:rsidRPr="00CD728B" w:rsidRDefault="00D50026"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 xml:space="preserve">En esta misma línea, </w:t>
      </w:r>
      <w:r w:rsidR="008D44C3" w:rsidRPr="00CD728B">
        <w:rPr>
          <w:rFonts w:ascii="Arial Narrow" w:hAnsi="Arial Narrow" w:cs="Arial"/>
          <w:sz w:val="24"/>
          <w:szCs w:val="24"/>
        </w:rPr>
        <w:t xml:space="preserve">el 143 obtuvo un ICP de 100%, </w:t>
      </w:r>
      <w:r w:rsidRPr="00CD728B">
        <w:rPr>
          <w:rFonts w:ascii="Arial Narrow" w:hAnsi="Arial Narrow" w:cs="Arial"/>
          <w:sz w:val="24"/>
          <w:szCs w:val="24"/>
        </w:rPr>
        <w:t xml:space="preserve">el </w:t>
      </w:r>
      <w:r w:rsidR="008D44C3" w:rsidRPr="00CD728B">
        <w:rPr>
          <w:rFonts w:ascii="Arial Narrow" w:hAnsi="Arial Narrow" w:cs="Arial"/>
          <w:sz w:val="24"/>
          <w:szCs w:val="24"/>
        </w:rPr>
        <w:t xml:space="preserve">145 tuvo uno de </w:t>
      </w:r>
      <w:r w:rsidR="009C6D91" w:rsidRPr="00CD728B">
        <w:rPr>
          <w:rFonts w:ascii="Arial Narrow" w:hAnsi="Arial Narrow" w:cs="Arial"/>
          <w:sz w:val="24"/>
          <w:szCs w:val="24"/>
        </w:rPr>
        <w:t>95</w:t>
      </w:r>
      <w:r w:rsidRPr="00CD728B">
        <w:rPr>
          <w:rFonts w:ascii="Arial Narrow" w:hAnsi="Arial Narrow" w:cs="Arial"/>
          <w:sz w:val="24"/>
          <w:szCs w:val="24"/>
        </w:rPr>
        <w:t xml:space="preserve">%, el 147 de </w:t>
      </w:r>
      <w:r w:rsidR="008D44C3" w:rsidRPr="00CD728B">
        <w:rPr>
          <w:rFonts w:ascii="Arial Narrow" w:hAnsi="Arial Narrow" w:cs="Arial"/>
          <w:sz w:val="24"/>
          <w:szCs w:val="24"/>
        </w:rPr>
        <w:t>91</w:t>
      </w:r>
      <w:r w:rsidRPr="00CD728B">
        <w:rPr>
          <w:rFonts w:ascii="Arial Narrow" w:hAnsi="Arial Narrow" w:cs="Arial"/>
          <w:sz w:val="24"/>
          <w:szCs w:val="24"/>
        </w:rPr>
        <w:t xml:space="preserve">%, el 121 alcanzó un ICP de </w:t>
      </w:r>
      <w:r w:rsidR="008D44C3" w:rsidRPr="00CD728B">
        <w:rPr>
          <w:rFonts w:ascii="Arial Narrow" w:hAnsi="Arial Narrow" w:cs="Arial"/>
          <w:sz w:val="24"/>
          <w:szCs w:val="24"/>
        </w:rPr>
        <w:t>65.11</w:t>
      </w:r>
      <w:r w:rsidRPr="00CD728B">
        <w:rPr>
          <w:rFonts w:ascii="Arial Narrow" w:hAnsi="Arial Narrow" w:cs="Arial"/>
          <w:sz w:val="24"/>
          <w:szCs w:val="24"/>
        </w:rPr>
        <w:t xml:space="preserve">%, </w:t>
      </w:r>
      <w:r w:rsidR="008D44C3" w:rsidRPr="00CD728B">
        <w:rPr>
          <w:rFonts w:ascii="Arial Narrow" w:hAnsi="Arial Narrow" w:cs="Arial"/>
          <w:sz w:val="24"/>
          <w:szCs w:val="24"/>
        </w:rPr>
        <w:t xml:space="preserve">cumpliendo total y parcial respectivamente, </w:t>
      </w:r>
      <w:r w:rsidRPr="00CD728B">
        <w:rPr>
          <w:rFonts w:ascii="Arial Narrow" w:hAnsi="Arial Narrow" w:cs="Arial"/>
          <w:sz w:val="24"/>
          <w:szCs w:val="24"/>
        </w:rPr>
        <w:t xml:space="preserve">el 129 </w:t>
      </w:r>
      <w:r w:rsidR="008D44C3" w:rsidRPr="00CD728B">
        <w:rPr>
          <w:rFonts w:ascii="Arial Narrow" w:hAnsi="Arial Narrow" w:cs="Arial"/>
          <w:sz w:val="24"/>
          <w:szCs w:val="24"/>
        </w:rPr>
        <w:t>obtuvo un in</w:t>
      </w:r>
      <w:r w:rsidRPr="00CD728B">
        <w:rPr>
          <w:rFonts w:ascii="Arial Narrow" w:hAnsi="Arial Narrow" w:cs="Arial"/>
          <w:sz w:val="24"/>
          <w:szCs w:val="24"/>
        </w:rPr>
        <w:t xml:space="preserve">cumplimiento parcial de </w:t>
      </w:r>
      <w:r w:rsidR="008D44C3" w:rsidRPr="00CD728B">
        <w:rPr>
          <w:rFonts w:ascii="Arial Narrow" w:hAnsi="Arial Narrow" w:cs="Arial"/>
          <w:sz w:val="24"/>
          <w:szCs w:val="24"/>
        </w:rPr>
        <w:t>46.51</w:t>
      </w:r>
      <w:r w:rsidRPr="00CD728B">
        <w:rPr>
          <w:rFonts w:ascii="Arial Narrow" w:hAnsi="Arial Narrow" w:cs="Arial"/>
          <w:sz w:val="24"/>
          <w:szCs w:val="24"/>
        </w:rPr>
        <w:t xml:space="preserve">% y por último el 146 incumplió parcialmente con un ICP de </w:t>
      </w:r>
      <w:r w:rsidR="008D44C3" w:rsidRPr="00CD728B">
        <w:rPr>
          <w:rFonts w:ascii="Arial Narrow" w:hAnsi="Arial Narrow" w:cs="Arial"/>
          <w:sz w:val="24"/>
          <w:szCs w:val="24"/>
        </w:rPr>
        <w:t>44.50</w:t>
      </w:r>
      <w:r w:rsidRPr="00CD728B">
        <w:rPr>
          <w:rFonts w:ascii="Arial Narrow" w:hAnsi="Arial Narrow" w:cs="Arial"/>
          <w:sz w:val="24"/>
          <w:szCs w:val="24"/>
        </w:rPr>
        <w:t xml:space="preserve">%. </w:t>
      </w:r>
    </w:p>
    <w:p w:rsidR="00D50026" w:rsidRPr="001639CC" w:rsidRDefault="00D50026" w:rsidP="002E7D47">
      <w:pPr>
        <w:pStyle w:val="Ttulo3"/>
        <w:numPr>
          <w:ilvl w:val="1"/>
          <w:numId w:val="28"/>
        </w:numPr>
        <w:contextualSpacing/>
        <w:jc w:val="both"/>
        <w:rPr>
          <w:rFonts w:ascii="Arial Narrow" w:hAnsi="Arial Narrow"/>
          <w:b/>
          <w:color w:val="auto"/>
        </w:rPr>
      </w:pPr>
      <w:bookmarkStart w:id="77" w:name="_Toc14293778"/>
      <w:r w:rsidRPr="001639CC">
        <w:rPr>
          <w:rFonts w:ascii="Arial Narrow" w:hAnsi="Arial Narrow"/>
          <w:b/>
          <w:color w:val="auto"/>
        </w:rPr>
        <w:lastRenderedPageBreak/>
        <w:t xml:space="preserve">Análisis del </w:t>
      </w:r>
      <w:r w:rsidR="009D7771">
        <w:rPr>
          <w:rFonts w:ascii="Arial Narrow" w:hAnsi="Arial Narrow"/>
          <w:b/>
          <w:color w:val="auto"/>
        </w:rPr>
        <w:t>Artículo</w:t>
      </w:r>
      <w:r w:rsidRPr="001639CC">
        <w:rPr>
          <w:rFonts w:ascii="Arial Narrow" w:hAnsi="Arial Narrow"/>
          <w:b/>
          <w:color w:val="auto"/>
        </w:rPr>
        <w:t xml:space="preserve"> 121 y sus respectivas fracciones</w:t>
      </w:r>
      <w:bookmarkEnd w:id="77"/>
    </w:p>
    <w:p w:rsidR="00D50026" w:rsidRPr="00CD728B" w:rsidRDefault="001639CC" w:rsidP="002E7D47">
      <w:pPr>
        <w:spacing w:before="100" w:beforeAutospacing="1" w:after="100" w:afterAutospacing="1" w:line="360" w:lineRule="auto"/>
        <w:contextualSpacing/>
        <w:jc w:val="both"/>
        <w:rPr>
          <w:rFonts w:ascii="Arial Narrow" w:hAnsi="Arial Narrow" w:cs="Arial"/>
          <w:sz w:val="24"/>
          <w:szCs w:val="24"/>
        </w:rPr>
      </w:pPr>
      <w:r>
        <w:rPr>
          <w:noProof/>
          <w:lang w:val="es-MX" w:eastAsia="es-MX"/>
        </w:rPr>
        <w:drawing>
          <wp:inline distT="0" distB="0" distL="0" distR="0" wp14:anchorId="757FDD90" wp14:editId="4563E2E9">
            <wp:extent cx="5612130" cy="3605029"/>
            <wp:effectExtent l="0" t="0" r="7620" b="14605"/>
            <wp:docPr id="1" name="Gráfico 1">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FBF1536-FAA7-4233-AB29-AF9CD6138B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8D44C3" w:rsidRPr="00CD728B" w:rsidRDefault="008D44C3" w:rsidP="002E7D47">
      <w:pPr>
        <w:spacing w:before="100" w:beforeAutospacing="1" w:after="100" w:afterAutospacing="1" w:line="360" w:lineRule="auto"/>
        <w:contextualSpacing/>
        <w:jc w:val="both"/>
        <w:rPr>
          <w:rFonts w:ascii="Arial Narrow" w:hAnsi="Arial Narrow" w:cs="Arial"/>
          <w:sz w:val="24"/>
          <w:szCs w:val="24"/>
        </w:rPr>
      </w:pPr>
    </w:p>
    <w:p w:rsidR="00D50026" w:rsidRPr="00CD728B" w:rsidRDefault="00D50026"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 xml:space="preserve">Los partidos políticos obtuvieron un ICP en este </w:t>
      </w:r>
      <w:r w:rsidR="009D7771">
        <w:rPr>
          <w:rFonts w:ascii="Arial Narrow" w:hAnsi="Arial Narrow" w:cs="Arial"/>
          <w:sz w:val="24"/>
          <w:szCs w:val="24"/>
        </w:rPr>
        <w:t>Artículo</w:t>
      </w:r>
      <w:r w:rsidRPr="00CD728B">
        <w:rPr>
          <w:rFonts w:ascii="Arial Narrow" w:hAnsi="Arial Narrow" w:cs="Arial"/>
          <w:sz w:val="24"/>
          <w:szCs w:val="24"/>
        </w:rPr>
        <w:t xml:space="preserve"> de </w:t>
      </w:r>
      <w:r w:rsidR="008D44C3" w:rsidRPr="00CD728B">
        <w:rPr>
          <w:rFonts w:ascii="Arial Narrow" w:hAnsi="Arial Narrow" w:cs="Arial"/>
          <w:sz w:val="24"/>
          <w:szCs w:val="24"/>
        </w:rPr>
        <w:t>65.11</w:t>
      </w:r>
      <w:r w:rsidRPr="00CD728B">
        <w:rPr>
          <w:rFonts w:ascii="Arial Narrow" w:hAnsi="Arial Narrow" w:cs="Arial"/>
          <w:sz w:val="24"/>
          <w:szCs w:val="24"/>
        </w:rPr>
        <w:t>%; por lo que se encuentra dentro del área de cumplimiento parcial. Las 14 fracciones que tiene</w:t>
      </w:r>
      <w:r w:rsidR="00F21221" w:rsidRPr="00CD728B">
        <w:rPr>
          <w:rFonts w:ascii="Arial Narrow" w:hAnsi="Arial Narrow" w:cs="Arial"/>
          <w:sz w:val="24"/>
          <w:szCs w:val="24"/>
        </w:rPr>
        <w:t>n</w:t>
      </w:r>
      <w:r w:rsidRPr="00CD728B">
        <w:rPr>
          <w:rFonts w:ascii="Arial Narrow" w:hAnsi="Arial Narrow" w:cs="Arial"/>
          <w:sz w:val="24"/>
          <w:szCs w:val="24"/>
        </w:rPr>
        <w:t xml:space="preserve"> mayor área de oportunidad, ya que se colocaron en un incumplimiento parcial, son las siguientes: </w:t>
      </w:r>
    </w:p>
    <w:p w:rsidR="00D50026" w:rsidRPr="00CD728B" w:rsidRDefault="00D50026" w:rsidP="002E7D47">
      <w:pPr>
        <w:pStyle w:val="Prrafodelista"/>
        <w:numPr>
          <w:ilvl w:val="0"/>
          <w:numId w:val="2"/>
        </w:numPr>
        <w:spacing w:before="100" w:beforeAutospacing="1" w:after="100" w:afterAutospacing="1" w:line="360" w:lineRule="auto"/>
        <w:jc w:val="both"/>
        <w:rPr>
          <w:rFonts w:ascii="Arial Narrow" w:hAnsi="Arial Narrow" w:cs="Arial"/>
          <w:sz w:val="24"/>
          <w:szCs w:val="24"/>
          <w:lang w:val="es-MX"/>
        </w:rPr>
      </w:pPr>
      <w:r w:rsidRPr="00CD728B">
        <w:rPr>
          <w:rFonts w:ascii="Arial Narrow" w:hAnsi="Arial Narrow" w:cs="Arial"/>
          <w:sz w:val="24"/>
          <w:szCs w:val="24"/>
        </w:rPr>
        <w:t xml:space="preserve">Fracción LII, con un ICP de </w:t>
      </w:r>
      <w:r w:rsidR="00776F07" w:rsidRPr="00CD728B">
        <w:rPr>
          <w:rFonts w:ascii="Arial Narrow" w:hAnsi="Arial Narrow" w:cs="Arial"/>
          <w:sz w:val="24"/>
          <w:szCs w:val="24"/>
        </w:rPr>
        <w:t>38.75</w:t>
      </w:r>
      <w:r w:rsidRPr="00CD728B">
        <w:rPr>
          <w:rFonts w:ascii="Arial Narrow" w:hAnsi="Arial Narrow" w:cs="Arial"/>
          <w:sz w:val="24"/>
          <w:szCs w:val="24"/>
        </w:rPr>
        <w:t xml:space="preserve">% consistente en la publicación </w:t>
      </w:r>
      <w:r w:rsidR="0000796C" w:rsidRPr="00CD728B">
        <w:rPr>
          <w:rFonts w:ascii="Arial Narrow" w:hAnsi="Arial Narrow" w:cs="Arial"/>
          <w:sz w:val="24"/>
          <w:szCs w:val="24"/>
        </w:rPr>
        <w:t>cualquier información que sea de utilidad o se considere relevante, para el conocimiento y evaluación de las funciones y políticas públicas.</w:t>
      </w:r>
      <w:r w:rsidRPr="00CD728B">
        <w:rPr>
          <w:rFonts w:ascii="Arial Narrow" w:hAnsi="Arial Narrow" w:cs="Arial"/>
          <w:sz w:val="24"/>
          <w:szCs w:val="24"/>
        </w:rPr>
        <w:t xml:space="preserve"> Los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no actualizaron la información conforme indica la normatividad vigente; así mismo, </w:t>
      </w:r>
      <w:r w:rsidRPr="00CD728B">
        <w:rPr>
          <w:rFonts w:ascii="Arial Narrow" w:hAnsi="Arial Narrow" w:cs="Arial"/>
          <w:sz w:val="24"/>
          <w:szCs w:val="24"/>
          <w:lang w:val="es-MX"/>
        </w:rPr>
        <w:t>no fundaron ni motivaron la ausencia de la misma.</w:t>
      </w:r>
    </w:p>
    <w:p w:rsidR="008D44C3" w:rsidRPr="00CD728B" w:rsidRDefault="008D44C3" w:rsidP="008D44C3">
      <w:pPr>
        <w:pStyle w:val="Prrafodelista"/>
        <w:spacing w:before="100" w:beforeAutospacing="1" w:after="100" w:afterAutospacing="1" w:line="360" w:lineRule="auto"/>
        <w:jc w:val="both"/>
        <w:rPr>
          <w:rFonts w:ascii="Arial Narrow" w:hAnsi="Arial Narrow" w:cs="Arial"/>
          <w:sz w:val="24"/>
          <w:szCs w:val="24"/>
          <w:lang w:val="es-MX"/>
        </w:rPr>
      </w:pPr>
    </w:p>
    <w:p w:rsidR="008D44C3" w:rsidRPr="00CD728B" w:rsidRDefault="00D50026" w:rsidP="008D44C3">
      <w:pPr>
        <w:pStyle w:val="Prrafodelista"/>
        <w:numPr>
          <w:ilvl w:val="0"/>
          <w:numId w:val="2"/>
        </w:numPr>
        <w:spacing w:before="100" w:beforeAutospacing="1" w:after="100" w:afterAutospacing="1" w:line="360" w:lineRule="auto"/>
        <w:jc w:val="both"/>
        <w:rPr>
          <w:rFonts w:ascii="Arial Narrow" w:hAnsi="Arial Narrow" w:cs="Arial"/>
          <w:sz w:val="24"/>
          <w:szCs w:val="24"/>
          <w:lang w:val="es-MX"/>
        </w:rPr>
      </w:pPr>
      <w:r w:rsidRPr="00CD728B">
        <w:rPr>
          <w:rFonts w:ascii="Arial Narrow" w:hAnsi="Arial Narrow" w:cs="Arial"/>
          <w:sz w:val="24"/>
          <w:szCs w:val="24"/>
        </w:rPr>
        <w:t xml:space="preserve">Fracción XLVII, con un ICP de </w:t>
      </w:r>
      <w:r w:rsidR="00776F07" w:rsidRPr="00CD728B">
        <w:rPr>
          <w:rFonts w:ascii="Arial Narrow" w:hAnsi="Arial Narrow" w:cs="Arial"/>
          <w:sz w:val="24"/>
          <w:szCs w:val="24"/>
        </w:rPr>
        <w:t>43.21</w:t>
      </w:r>
      <w:r w:rsidRPr="00CD728B">
        <w:rPr>
          <w:rFonts w:ascii="Arial Narrow" w:hAnsi="Arial Narrow" w:cs="Arial"/>
          <w:sz w:val="24"/>
          <w:szCs w:val="24"/>
        </w:rPr>
        <w:t xml:space="preserve">% consistente en la publicación </w:t>
      </w:r>
      <w:r w:rsidR="0000796C" w:rsidRPr="00CD728B">
        <w:rPr>
          <w:rFonts w:ascii="Arial Narrow" w:hAnsi="Arial Narrow" w:cs="Arial"/>
          <w:sz w:val="24"/>
          <w:szCs w:val="24"/>
        </w:rPr>
        <w:t xml:space="preserve">de los ingresos recibidos por cualquier concepto señalando el nombre de los responsables de recibirlos, administrarlo </w:t>
      </w:r>
      <w:r w:rsidR="0000796C" w:rsidRPr="00CD728B">
        <w:rPr>
          <w:rFonts w:ascii="Arial Narrow" w:hAnsi="Arial Narrow" w:cs="Arial"/>
          <w:sz w:val="24"/>
          <w:szCs w:val="24"/>
        </w:rPr>
        <w:lastRenderedPageBreak/>
        <w:t>y ejercerlos.</w:t>
      </w:r>
      <w:r w:rsidRPr="00CD728B">
        <w:rPr>
          <w:rFonts w:ascii="Arial Narrow" w:hAnsi="Arial Narrow" w:cs="Arial"/>
          <w:sz w:val="24"/>
          <w:szCs w:val="24"/>
        </w:rPr>
        <w:t xml:space="preserve"> Los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no actualizaron la información conforme indica la normatividad vigente</w:t>
      </w:r>
      <w:r w:rsidR="008D44C3" w:rsidRPr="00CD728B">
        <w:rPr>
          <w:rFonts w:ascii="Arial Narrow" w:hAnsi="Arial Narrow" w:cs="Arial"/>
          <w:sz w:val="24"/>
          <w:szCs w:val="24"/>
          <w:lang w:val="es-MX"/>
        </w:rPr>
        <w:t>.</w:t>
      </w:r>
    </w:p>
    <w:p w:rsidR="00776F07" w:rsidRPr="00CD728B" w:rsidRDefault="00776F07" w:rsidP="00776F07">
      <w:pPr>
        <w:pStyle w:val="Prrafodelista"/>
        <w:rPr>
          <w:rFonts w:ascii="Arial Narrow" w:hAnsi="Arial Narrow" w:cs="Arial"/>
          <w:sz w:val="24"/>
          <w:szCs w:val="24"/>
          <w:lang w:val="es-MX"/>
        </w:rPr>
      </w:pPr>
    </w:p>
    <w:p w:rsidR="00776F07" w:rsidRPr="00CD728B" w:rsidRDefault="00776F07" w:rsidP="00776F07">
      <w:pPr>
        <w:pStyle w:val="Prrafodelista"/>
        <w:numPr>
          <w:ilvl w:val="0"/>
          <w:numId w:val="2"/>
        </w:numPr>
        <w:spacing w:before="100" w:beforeAutospacing="1" w:after="100" w:afterAutospacing="1" w:line="360" w:lineRule="auto"/>
        <w:jc w:val="both"/>
        <w:rPr>
          <w:rFonts w:ascii="Arial Narrow" w:hAnsi="Arial Narrow" w:cs="Arial"/>
          <w:sz w:val="24"/>
          <w:szCs w:val="24"/>
          <w:lang w:val="es-MX"/>
        </w:rPr>
      </w:pPr>
      <w:r w:rsidRPr="00CD728B">
        <w:rPr>
          <w:rFonts w:ascii="Arial Narrow" w:hAnsi="Arial Narrow" w:cs="Arial"/>
          <w:sz w:val="24"/>
          <w:szCs w:val="24"/>
        </w:rPr>
        <w:t xml:space="preserve">Fracción XI, con un ICP de </w:t>
      </w:r>
      <w:r w:rsidR="0000796C" w:rsidRPr="00CD728B">
        <w:rPr>
          <w:rFonts w:ascii="Arial Narrow" w:hAnsi="Arial Narrow" w:cs="Arial"/>
          <w:sz w:val="24"/>
          <w:szCs w:val="24"/>
        </w:rPr>
        <w:t>56.74</w:t>
      </w:r>
      <w:r w:rsidRPr="00CD728B">
        <w:rPr>
          <w:rFonts w:ascii="Arial Narrow" w:hAnsi="Arial Narrow" w:cs="Arial"/>
          <w:sz w:val="24"/>
          <w:szCs w:val="24"/>
        </w:rPr>
        <w:t>% consistente en la publicación del número total de plazas y del personal de base y confianza. Los Sujetos Obligados no actualizaron la información conforme indica la normatividad vigente; así mismo,</w:t>
      </w:r>
      <w:r w:rsidRPr="00CD728B">
        <w:rPr>
          <w:rFonts w:ascii="Arial Narrow" w:hAnsi="Arial Narrow" w:cs="Arial"/>
          <w:sz w:val="24"/>
          <w:szCs w:val="24"/>
          <w:lang w:val="es-MX"/>
        </w:rPr>
        <w:t xml:space="preserve"> no fundaron ni motivaron la ausencia de la misma.</w:t>
      </w:r>
    </w:p>
    <w:p w:rsidR="0000796C" w:rsidRPr="00CD728B" w:rsidRDefault="0000796C" w:rsidP="0000796C">
      <w:pPr>
        <w:pStyle w:val="Prrafodelista"/>
        <w:rPr>
          <w:rFonts w:ascii="Arial Narrow" w:hAnsi="Arial Narrow" w:cs="Arial"/>
          <w:sz w:val="24"/>
          <w:szCs w:val="24"/>
          <w:lang w:val="es-MX"/>
        </w:rPr>
      </w:pPr>
    </w:p>
    <w:p w:rsidR="0000796C" w:rsidRPr="00CD728B" w:rsidRDefault="0000796C" w:rsidP="0000796C">
      <w:pPr>
        <w:pStyle w:val="Prrafodelista"/>
        <w:numPr>
          <w:ilvl w:val="0"/>
          <w:numId w:val="2"/>
        </w:numPr>
        <w:spacing w:before="100" w:beforeAutospacing="1" w:after="100" w:afterAutospacing="1" w:line="360" w:lineRule="auto"/>
        <w:jc w:val="both"/>
        <w:rPr>
          <w:rFonts w:ascii="Arial Narrow" w:hAnsi="Arial Narrow" w:cs="Arial"/>
          <w:sz w:val="24"/>
          <w:szCs w:val="24"/>
        </w:rPr>
      </w:pPr>
      <w:r w:rsidRPr="00CD728B">
        <w:rPr>
          <w:rFonts w:ascii="Arial Narrow" w:hAnsi="Arial Narrow" w:cs="Arial"/>
          <w:sz w:val="24"/>
          <w:szCs w:val="24"/>
        </w:rPr>
        <w:t>Fracción III, con un ICP de 57.50% consistente en la publicación de las facultades y funciones de cada área. Los Sujetos Obligados no actualizaron la información conforme indica la normatividad vigente.</w:t>
      </w:r>
    </w:p>
    <w:p w:rsidR="0000796C" w:rsidRPr="00CD728B" w:rsidRDefault="0000796C" w:rsidP="0000796C">
      <w:pPr>
        <w:pStyle w:val="Prrafodelista"/>
        <w:rPr>
          <w:rFonts w:ascii="Arial Narrow" w:hAnsi="Arial Narrow" w:cs="Arial"/>
          <w:sz w:val="24"/>
          <w:szCs w:val="24"/>
        </w:rPr>
      </w:pPr>
    </w:p>
    <w:p w:rsidR="0000796C" w:rsidRPr="00CD728B" w:rsidRDefault="0000796C" w:rsidP="0000796C">
      <w:pPr>
        <w:pStyle w:val="Prrafodelista"/>
        <w:numPr>
          <w:ilvl w:val="0"/>
          <w:numId w:val="2"/>
        </w:numPr>
        <w:spacing w:before="100" w:beforeAutospacing="1" w:after="100" w:afterAutospacing="1" w:line="360" w:lineRule="auto"/>
        <w:jc w:val="both"/>
        <w:rPr>
          <w:rFonts w:ascii="Arial Narrow" w:hAnsi="Arial Narrow" w:cs="Arial"/>
          <w:sz w:val="24"/>
          <w:szCs w:val="24"/>
          <w:lang w:val="es-MX"/>
        </w:rPr>
      </w:pPr>
      <w:r w:rsidRPr="00CD728B">
        <w:rPr>
          <w:rFonts w:ascii="Arial Narrow" w:hAnsi="Arial Narrow" w:cs="Arial"/>
          <w:sz w:val="24"/>
          <w:szCs w:val="24"/>
        </w:rPr>
        <w:t>Fracción XIV, con un ICP de 57.50%, la cual solicita la publicación del domicilio de la Unidad de Transparencia. Los Sujetos Obligados no actualizaron la información conforme indica la normatividad vigente</w:t>
      </w:r>
      <w:r w:rsidRPr="00CD728B">
        <w:rPr>
          <w:rFonts w:ascii="Arial Narrow" w:hAnsi="Arial Narrow" w:cs="Arial"/>
          <w:sz w:val="24"/>
          <w:szCs w:val="24"/>
          <w:lang w:val="es-MX"/>
        </w:rPr>
        <w:t>.</w:t>
      </w:r>
    </w:p>
    <w:p w:rsidR="0000796C" w:rsidRPr="00CD728B" w:rsidRDefault="0000796C" w:rsidP="0000796C">
      <w:pPr>
        <w:pStyle w:val="Prrafodelista"/>
        <w:spacing w:before="100" w:beforeAutospacing="1" w:after="100" w:afterAutospacing="1" w:line="360" w:lineRule="auto"/>
        <w:jc w:val="both"/>
        <w:rPr>
          <w:rFonts w:ascii="Arial Narrow" w:hAnsi="Arial Narrow" w:cs="Arial"/>
          <w:sz w:val="24"/>
          <w:szCs w:val="24"/>
          <w:lang w:val="es-MX"/>
        </w:rPr>
      </w:pPr>
    </w:p>
    <w:p w:rsidR="0000796C" w:rsidRPr="00CD728B" w:rsidRDefault="0000796C" w:rsidP="0000796C">
      <w:pPr>
        <w:pStyle w:val="Prrafodelista"/>
        <w:numPr>
          <w:ilvl w:val="0"/>
          <w:numId w:val="2"/>
        </w:numPr>
        <w:spacing w:before="100" w:beforeAutospacing="1" w:after="100" w:afterAutospacing="1" w:line="360" w:lineRule="auto"/>
        <w:jc w:val="both"/>
        <w:rPr>
          <w:rFonts w:ascii="Arial Narrow" w:hAnsi="Arial Narrow" w:cs="Arial"/>
          <w:sz w:val="24"/>
          <w:szCs w:val="24"/>
        </w:rPr>
      </w:pPr>
      <w:r w:rsidRPr="00CD728B">
        <w:rPr>
          <w:rFonts w:ascii="Arial Narrow" w:hAnsi="Arial Narrow" w:cs="Arial"/>
          <w:sz w:val="24"/>
          <w:szCs w:val="24"/>
        </w:rPr>
        <w:t>Fracción XIX, con un ICP de 57.50%, consistente en la publicación de los servicios que ofrecen. Los Sujetos Obligados no actualizaron la información conforme indica la normatividad vigente; y algunos no publicaron los servicios relativos a las solicitudes de información pública y datos personales.</w:t>
      </w:r>
    </w:p>
    <w:p w:rsidR="0000796C" w:rsidRPr="00CD728B" w:rsidRDefault="0000796C" w:rsidP="0000796C">
      <w:pPr>
        <w:pStyle w:val="Prrafodelista"/>
        <w:spacing w:before="100" w:beforeAutospacing="1" w:after="100" w:afterAutospacing="1" w:line="360" w:lineRule="auto"/>
        <w:jc w:val="both"/>
        <w:rPr>
          <w:rFonts w:ascii="Arial Narrow" w:hAnsi="Arial Narrow" w:cs="Arial"/>
          <w:sz w:val="24"/>
          <w:szCs w:val="24"/>
        </w:rPr>
      </w:pPr>
    </w:p>
    <w:p w:rsidR="0000796C" w:rsidRPr="00CD728B" w:rsidRDefault="0000796C" w:rsidP="0000796C">
      <w:pPr>
        <w:pStyle w:val="Prrafodelista"/>
        <w:numPr>
          <w:ilvl w:val="0"/>
          <w:numId w:val="2"/>
        </w:numPr>
        <w:spacing w:before="100" w:beforeAutospacing="1" w:after="100" w:afterAutospacing="1" w:line="360" w:lineRule="auto"/>
        <w:jc w:val="both"/>
        <w:rPr>
          <w:rFonts w:ascii="Arial Narrow" w:hAnsi="Arial Narrow" w:cs="Arial"/>
          <w:sz w:val="24"/>
          <w:szCs w:val="24"/>
        </w:rPr>
      </w:pPr>
      <w:r w:rsidRPr="00CD728B">
        <w:rPr>
          <w:rFonts w:ascii="Arial Narrow" w:hAnsi="Arial Narrow" w:cs="Arial"/>
          <w:sz w:val="24"/>
          <w:szCs w:val="24"/>
        </w:rPr>
        <w:t>Fracción XX, con un ICP de 57.50%, consistente en la publicación de los trámites que ofrecen. Los Sujetos Obligados no actualizaron la información conforme indica la normatividad vigente y algunos de ellos no publicaron los trámites relativos a las solicitudes de información pública y datos personales.</w:t>
      </w:r>
    </w:p>
    <w:p w:rsidR="008D44C3" w:rsidRPr="00CD728B" w:rsidRDefault="008D44C3" w:rsidP="0000796C">
      <w:pPr>
        <w:pStyle w:val="Prrafodelista"/>
        <w:spacing w:before="100" w:beforeAutospacing="1" w:after="100" w:afterAutospacing="1" w:line="360" w:lineRule="auto"/>
        <w:jc w:val="both"/>
        <w:rPr>
          <w:rFonts w:ascii="Arial Narrow" w:hAnsi="Arial Narrow" w:cs="Arial"/>
          <w:sz w:val="24"/>
          <w:szCs w:val="24"/>
        </w:rPr>
      </w:pPr>
    </w:p>
    <w:p w:rsidR="00D50026" w:rsidRPr="001639CC" w:rsidRDefault="00D50026" w:rsidP="002E7D47">
      <w:pPr>
        <w:pStyle w:val="Ttulo3"/>
        <w:numPr>
          <w:ilvl w:val="1"/>
          <w:numId w:val="28"/>
        </w:numPr>
        <w:contextualSpacing/>
        <w:jc w:val="both"/>
        <w:rPr>
          <w:rFonts w:ascii="Arial Narrow" w:hAnsi="Arial Narrow"/>
          <w:b/>
          <w:color w:val="auto"/>
        </w:rPr>
      </w:pPr>
      <w:bookmarkStart w:id="78" w:name="_Toc14293779"/>
      <w:r w:rsidRPr="001639CC">
        <w:rPr>
          <w:rFonts w:ascii="Arial Narrow" w:hAnsi="Arial Narrow"/>
          <w:b/>
          <w:color w:val="auto"/>
        </w:rPr>
        <w:lastRenderedPageBreak/>
        <w:t xml:space="preserve">Análisis del </w:t>
      </w:r>
      <w:r w:rsidR="009D7771">
        <w:rPr>
          <w:rFonts w:ascii="Arial Narrow" w:hAnsi="Arial Narrow"/>
          <w:b/>
          <w:color w:val="auto"/>
        </w:rPr>
        <w:t>Artículo</w:t>
      </w:r>
      <w:r w:rsidRPr="001639CC">
        <w:rPr>
          <w:rFonts w:ascii="Arial Narrow" w:hAnsi="Arial Narrow"/>
          <w:b/>
          <w:color w:val="auto"/>
        </w:rPr>
        <w:t xml:space="preserve"> 129 y sus respectivas fracciones</w:t>
      </w:r>
      <w:bookmarkEnd w:id="78"/>
    </w:p>
    <w:p w:rsidR="00D50026" w:rsidRPr="00CD728B" w:rsidRDefault="001639CC" w:rsidP="002E7D47">
      <w:pPr>
        <w:spacing w:before="100" w:beforeAutospacing="1" w:after="100" w:afterAutospacing="1" w:line="360" w:lineRule="auto"/>
        <w:contextualSpacing/>
        <w:jc w:val="both"/>
        <w:rPr>
          <w:rFonts w:ascii="Arial Narrow" w:hAnsi="Arial Narrow" w:cs="Arial"/>
          <w:b/>
          <w:bCs/>
          <w:sz w:val="24"/>
          <w:szCs w:val="24"/>
        </w:rPr>
      </w:pPr>
      <w:r>
        <w:rPr>
          <w:noProof/>
          <w:lang w:val="es-MX" w:eastAsia="es-MX"/>
        </w:rPr>
        <w:drawing>
          <wp:inline distT="0" distB="0" distL="0" distR="0" wp14:anchorId="2404D964" wp14:editId="69149583">
            <wp:extent cx="5612130" cy="3363237"/>
            <wp:effectExtent l="0" t="0" r="7620" b="8890"/>
            <wp:docPr id="37" name="Gráfico 37">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05853FB-B61E-4BBA-96AF-F70C0E0AEE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8D44C3" w:rsidRPr="00CD728B" w:rsidRDefault="008D44C3" w:rsidP="002E7D47">
      <w:pPr>
        <w:spacing w:before="100" w:beforeAutospacing="1" w:after="100" w:afterAutospacing="1" w:line="360" w:lineRule="auto"/>
        <w:contextualSpacing/>
        <w:jc w:val="both"/>
        <w:rPr>
          <w:rFonts w:ascii="Arial Narrow" w:hAnsi="Arial Narrow" w:cs="Arial"/>
          <w:sz w:val="24"/>
          <w:szCs w:val="24"/>
        </w:rPr>
      </w:pPr>
    </w:p>
    <w:p w:rsidR="006E7846" w:rsidRPr="00CD728B" w:rsidRDefault="00D50026" w:rsidP="006E7846">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 xml:space="preserve">Los partidos políticos obtuvieron un ICP en este </w:t>
      </w:r>
      <w:r w:rsidR="009D7771">
        <w:rPr>
          <w:rFonts w:ascii="Arial Narrow" w:hAnsi="Arial Narrow" w:cs="Arial"/>
          <w:sz w:val="24"/>
          <w:szCs w:val="24"/>
        </w:rPr>
        <w:t>Artículo</w:t>
      </w:r>
      <w:r w:rsidRPr="00CD728B">
        <w:rPr>
          <w:rFonts w:ascii="Arial Narrow" w:hAnsi="Arial Narrow" w:cs="Arial"/>
          <w:sz w:val="24"/>
          <w:szCs w:val="24"/>
        </w:rPr>
        <w:t xml:space="preserve"> de </w:t>
      </w:r>
      <w:r w:rsidR="008D44C3" w:rsidRPr="00CD728B">
        <w:rPr>
          <w:rFonts w:ascii="Arial Narrow" w:hAnsi="Arial Narrow" w:cs="Arial"/>
          <w:sz w:val="24"/>
          <w:szCs w:val="24"/>
        </w:rPr>
        <w:t xml:space="preserve">46.51%, </w:t>
      </w:r>
      <w:r w:rsidRPr="00CD728B">
        <w:rPr>
          <w:rFonts w:ascii="Arial Narrow" w:hAnsi="Arial Narrow" w:cs="Arial"/>
          <w:sz w:val="24"/>
          <w:szCs w:val="24"/>
        </w:rPr>
        <w:t xml:space="preserve">por lo que se encuentra dentro del área de cumplimiento parcial. Las nueve fracciones que tienen mayor área de oportunidad,  son las siguientes: </w:t>
      </w:r>
    </w:p>
    <w:p w:rsidR="006E7846" w:rsidRPr="00CD728B" w:rsidRDefault="006E7846" w:rsidP="006E7846">
      <w:pPr>
        <w:pStyle w:val="Prrafodelista"/>
        <w:numPr>
          <w:ilvl w:val="0"/>
          <w:numId w:val="2"/>
        </w:numPr>
        <w:spacing w:before="100" w:beforeAutospacing="1" w:after="100" w:afterAutospacing="1" w:line="360" w:lineRule="auto"/>
        <w:jc w:val="both"/>
        <w:rPr>
          <w:rFonts w:ascii="Arial Narrow" w:hAnsi="Arial Narrow" w:cs="Arial"/>
          <w:sz w:val="24"/>
          <w:szCs w:val="24"/>
        </w:rPr>
      </w:pPr>
      <w:r w:rsidRPr="00CD728B">
        <w:rPr>
          <w:rFonts w:ascii="Arial Narrow" w:hAnsi="Arial Narrow" w:cs="Arial"/>
          <w:sz w:val="24"/>
          <w:szCs w:val="24"/>
        </w:rPr>
        <w:t>Fracción XVI, con un ICP de 40.10% consistente en la publicación del tabulador de remuneraciones que perciben los integrantes de los órganos de dirección. Los Sujetos Obligados no actualizaron la información conforme indica la normatividad vigente y en algunos casos no fundaron ni motivaron la ausencia de la misma.</w:t>
      </w:r>
    </w:p>
    <w:p w:rsidR="006E7846" w:rsidRPr="00CD728B" w:rsidRDefault="006E7846" w:rsidP="006E7846">
      <w:pPr>
        <w:pStyle w:val="Prrafodelista"/>
        <w:spacing w:before="100" w:beforeAutospacing="1" w:after="100" w:afterAutospacing="1" w:line="360" w:lineRule="auto"/>
        <w:jc w:val="both"/>
        <w:rPr>
          <w:rFonts w:ascii="Arial Narrow" w:hAnsi="Arial Narrow" w:cs="Arial"/>
          <w:sz w:val="24"/>
          <w:szCs w:val="24"/>
        </w:rPr>
      </w:pPr>
    </w:p>
    <w:p w:rsidR="006E7846" w:rsidRPr="00CD728B" w:rsidRDefault="006E7846" w:rsidP="006E7846">
      <w:pPr>
        <w:pStyle w:val="Prrafodelista"/>
        <w:numPr>
          <w:ilvl w:val="0"/>
          <w:numId w:val="2"/>
        </w:numPr>
        <w:spacing w:before="100" w:beforeAutospacing="1" w:after="100" w:afterAutospacing="1" w:line="360" w:lineRule="auto"/>
        <w:jc w:val="both"/>
        <w:rPr>
          <w:rFonts w:ascii="Arial Narrow" w:hAnsi="Arial Narrow" w:cs="Arial"/>
          <w:sz w:val="24"/>
          <w:szCs w:val="24"/>
        </w:rPr>
      </w:pPr>
      <w:r w:rsidRPr="00CD728B">
        <w:rPr>
          <w:rFonts w:ascii="Arial Narrow" w:hAnsi="Arial Narrow" w:cs="Arial"/>
          <w:sz w:val="24"/>
          <w:szCs w:val="24"/>
        </w:rPr>
        <w:t xml:space="preserve">Fracción XII, con un ICP de 41.25% en la que se establece publicar las demarcaciones electorales en las que participe. Los Sujetos Obligados no actualizaron la información </w:t>
      </w:r>
      <w:r w:rsidRPr="00CD728B">
        <w:rPr>
          <w:rFonts w:ascii="Arial Narrow" w:hAnsi="Arial Narrow" w:cs="Arial"/>
          <w:sz w:val="24"/>
          <w:szCs w:val="24"/>
        </w:rPr>
        <w:lastRenderedPageBreak/>
        <w:t xml:space="preserve">conforme indica la normatividad vigente y en algunos casos </w:t>
      </w:r>
      <w:r w:rsidRPr="00CD728B">
        <w:rPr>
          <w:rFonts w:ascii="Arial Narrow" w:hAnsi="Arial Narrow" w:cs="Arial"/>
          <w:sz w:val="24"/>
          <w:szCs w:val="24"/>
          <w:lang w:val="es-MX"/>
        </w:rPr>
        <w:t>no fundaron ni motivaron la ausencia de la misma.</w:t>
      </w:r>
    </w:p>
    <w:p w:rsidR="006E7846" w:rsidRPr="00CD728B" w:rsidRDefault="006E7846" w:rsidP="006E7846">
      <w:pPr>
        <w:pStyle w:val="Prrafodelista"/>
        <w:spacing w:before="100" w:beforeAutospacing="1" w:after="100" w:afterAutospacing="1" w:line="360" w:lineRule="auto"/>
        <w:jc w:val="both"/>
        <w:rPr>
          <w:rFonts w:ascii="Arial Narrow" w:hAnsi="Arial Narrow" w:cs="Arial"/>
          <w:sz w:val="24"/>
          <w:szCs w:val="24"/>
        </w:rPr>
      </w:pPr>
    </w:p>
    <w:p w:rsidR="006E7846" w:rsidRPr="00CD728B" w:rsidRDefault="006E7846" w:rsidP="006E7846">
      <w:pPr>
        <w:pStyle w:val="Prrafodelista"/>
        <w:numPr>
          <w:ilvl w:val="0"/>
          <w:numId w:val="2"/>
        </w:numPr>
        <w:spacing w:before="100" w:beforeAutospacing="1" w:after="100" w:afterAutospacing="1" w:line="360" w:lineRule="auto"/>
        <w:jc w:val="both"/>
        <w:rPr>
          <w:rFonts w:ascii="Arial Narrow" w:hAnsi="Arial Narrow" w:cs="Arial"/>
          <w:sz w:val="24"/>
          <w:szCs w:val="24"/>
        </w:rPr>
      </w:pPr>
      <w:r w:rsidRPr="00CD728B">
        <w:rPr>
          <w:rFonts w:ascii="Arial Narrow" w:hAnsi="Arial Narrow" w:cs="Arial"/>
          <w:sz w:val="24"/>
          <w:szCs w:val="24"/>
        </w:rPr>
        <w:t xml:space="preserve">Fracción XXI, con ICP de 42.16% en la que se establece publicar a los responsables de los procesos internos de evaluación y selección de candidatos. Los Sujetos Obligados </w:t>
      </w:r>
      <w:r w:rsidRPr="00CD728B">
        <w:rPr>
          <w:rFonts w:ascii="Arial Narrow" w:hAnsi="Arial Narrow" w:cs="Arial"/>
          <w:sz w:val="24"/>
          <w:szCs w:val="24"/>
          <w:lang w:val="es-ES_tradnl"/>
        </w:rPr>
        <w:t>en los casos donde no publicaron</w:t>
      </w:r>
      <w:r w:rsidRPr="00CD728B">
        <w:rPr>
          <w:rFonts w:ascii="Arial Narrow" w:hAnsi="Arial Narrow" w:cs="Arial"/>
          <w:sz w:val="24"/>
          <w:szCs w:val="24"/>
          <w:lang w:val="es-MX"/>
        </w:rPr>
        <w:t xml:space="preserve"> información, no fundaron ni motivaron la ausencia de la misma</w:t>
      </w:r>
      <w:r w:rsidRPr="00CD728B">
        <w:rPr>
          <w:rFonts w:ascii="Arial Narrow" w:hAnsi="Arial Narrow" w:cs="Arial"/>
          <w:sz w:val="24"/>
          <w:szCs w:val="24"/>
        </w:rPr>
        <w:t>.</w:t>
      </w:r>
    </w:p>
    <w:p w:rsidR="006E7846" w:rsidRPr="00CD728B" w:rsidRDefault="006E7846" w:rsidP="006E7846">
      <w:pPr>
        <w:pStyle w:val="Prrafodelista"/>
        <w:spacing w:before="100" w:beforeAutospacing="1" w:after="100" w:afterAutospacing="1" w:line="360" w:lineRule="auto"/>
        <w:jc w:val="both"/>
        <w:rPr>
          <w:rFonts w:ascii="Arial Narrow" w:hAnsi="Arial Narrow" w:cs="Arial"/>
          <w:sz w:val="24"/>
          <w:szCs w:val="24"/>
        </w:rPr>
      </w:pPr>
    </w:p>
    <w:p w:rsidR="006E7846" w:rsidRPr="00CD728B" w:rsidRDefault="006E7846" w:rsidP="006E7846">
      <w:pPr>
        <w:pStyle w:val="Prrafodelista"/>
        <w:numPr>
          <w:ilvl w:val="0"/>
          <w:numId w:val="2"/>
        </w:numPr>
        <w:spacing w:before="100" w:beforeAutospacing="1" w:after="100" w:afterAutospacing="1" w:line="360" w:lineRule="auto"/>
        <w:jc w:val="both"/>
        <w:rPr>
          <w:rFonts w:ascii="Arial Narrow" w:hAnsi="Arial Narrow" w:cs="Arial"/>
          <w:sz w:val="24"/>
          <w:szCs w:val="24"/>
        </w:rPr>
      </w:pPr>
      <w:r w:rsidRPr="00CD728B">
        <w:rPr>
          <w:rFonts w:ascii="Arial Narrow" w:hAnsi="Arial Narrow" w:cs="Arial"/>
          <w:sz w:val="24"/>
          <w:szCs w:val="24"/>
        </w:rPr>
        <w:t xml:space="preserve">Fracción XX, con un ICP de 42.56% en la cual se solicita la publicación de las convocatorias que emiten para la elección de sus dirigentes. Los Sujetos Obligados no actualizaron la información conforme indica la normatividad vigente y en algunos casos </w:t>
      </w:r>
      <w:r w:rsidRPr="00CD728B">
        <w:rPr>
          <w:rFonts w:ascii="Arial Narrow" w:hAnsi="Arial Narrow" w:cs="Arial"/>
          <w:sz w:val="24"/>
          <w:szCs w:val="24"/>
          <w:lang w:val="es-MX"/>
        </w:rPr>
        <w:t>no fundaron ni motivaron la ausencia de la misma.</w:t>
      </w:r>
    </w:p>
    <w:p w:rsidR="006E7846" w:rsidRPr="00CD728B" w:rsidRDefault="006E7846" w:rsidP="006E7846">
      <w:pPr>
        <w:pStyle w:val="Prrafodelista"/>
        <w:spacing w:before="100" w:beforeAutospacing="1" w:after="100" w:afterAutospacing="1" w:line="360" w:lineRule="auto"/>
        <w:jc w:val="both"/>
        <w:rPr>
          <w:rFonts w:ascii="Arial Narrow" w:hAnsi="Arial Narrow" w:cs="Arial"/>
          <w:sz w:val="24"/>
          <w:szCs w:val="24"/>
        </w:rPr>
      </w:pPr>
    </w:p>
    <w:p w:rsidR="00D50026" w:rsidRPr="00CD728B" w:rsidRDefault="00D50026" w:rsidP="002E7D47">
      <w:pPr>
        <w:pStyle w:val="Prrafodelista"/>
        <w:numPr>
          <w:ilvl w:val="0"/>
          <w:numId w:val="2"/>
        </w:numPr>
        <w:spacing w:before="100" w:beforeAutospacing="1" w:after="100" w:afterAutospacing="1" w:line="360" w:lineRule="auto"/>
        <w:jc w:val="both"/>
        <w:rPr>
          <w:rFonts w:ascii="Arial Narrow" w:hAnsi="Arial Narrow" w:cs="Arial"/>
          <w:sz w:val="24"/>
          <w:szCs w:val="24"/>
        </w:rPr>
      </w:pPr>
      <w:r w:rsidRPr="00CD728B">
        <w:rPr>
          <w:rFonts w:ascii="Arial Narrow" w:hAnsi="Arial Narrow" w:cs="Arial"/>
          <w:sz w:val="24"/>
          <w:szCs w:val="24"/>
        </w:rPr>
        <w:t xml:space="preserve">Fracción IX, con un ICP de </w:t>
      </w:r>
      <w:r w:rsidR="006E7846" w:rsidRPr="00CD728B">
        <w:rPr>
          <w:rFonts w:ascii="Arial Narrow" w:hAnsi="Arial Narrow" w:cs="Arial"/>
          <w:sz w:val="24"/>
          <w:szCs w:val="24"/>
        </w:rPr>
        <w:t>42.98</w:t>
      </w:r>
      <w:r w:rsidRPr="00CD728B">
        <w:rPr>
          <w:rFonts w:ascii="Arial Narrow" w:hAnsi="Arial Narrow" w:cs="Arial"/>
          <w:sz w:val="24"/>
          <w:szCs w:val="24"/>
        </w:rPr>
        <w:t>%</w:t>
      </w:r>
      <w:r w:rsidR="000A2648" w:rsidRPr="00CD728B">
        <w:rPr>
          <w:rFonts w:ascii="Arial Narrow" w:hAnsi="Arial Narrow" w:cs="Arial"/>
          <w:sz w:val="24"/>
          <w:szCs w:val="24"/>
        </w:rPr>
        <w:t>,</w:t>
      </w:r>
      <w:r w:rsidRPr="00CD728B">
        <w:rPr>
          <w:rFonts w:ascii="Arial Narrow" w:hAnsi="Arial Narrow" w:cs="Arial"/>
          <w:sz w:val="24"/>
          <w:szCs w:val="24"/>
        </w:rPr>
        <w:t xml:space="preserve"> en la cual se solicita la publicación de los montos autorizados de financiamiento privado. Los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no actualizaron la información conforme indica la normatividad vigente y en algunos casos </w:t>
      </w:r>
      <w:r w:rsidRPr="00CD728B">
        <w:rPr>
          <w:rFonts w:ascii="Arial Narrow" w:hAnsi="Arial Narrow" w:cs="Arial"/>
          <w:sz w:val="24"/>
          <w:szCs w:val="24"/>
          <w:lang w:val="es-MX"/>
        </w:rPr>
        <w:t>no fundaron ni motivaron la ausencia de la misma</w:t>
      </w:r>
      <w:r w:rsidRPr="00CD728B">
        <w:rPr>
          <w:rFonts w:ascii="Arial Narrow" w:hAnsi="Arial Narrow" w:cs="Arial"/>
          <w:sz w:val="24"/>
          <w:szCs w:val="24"/>
        </w:rPr>
        <w:t>.</w:t>
      </w:r>
    </w:p>
    <w:p w:rsidR="008D44C3" w:rsidRPr="00CD728B" w:rsidRDefault="008D44C3" w:rsidP="008D44C3">
      <w:pPr>
        <w:pStyle w:val="Prrafodelista"/>
        <w:spacing w:before="100" w:beforeAutospacing="1" w:after="100" w:afterAutospacing="1" w:line="360" w:lineRule="auto"/>
        <w:jc w:val="both"/>
        <w:rPr>
          <w:rFonts w:ascii="Arial Narrow" w:hAnsi="Arial Narrow" w:cs="Arial"/>
          <w:sz w:val="24"/>
          <w:szCs w:val="24"/>
        </w:rPr>
      </w:pPr>
    </w:p>
    <w:p w:rsidR="008D44C3" w:rsidRPr="00CD728B" w:rsidRDefault="00D50026" w:rsidP="008D44C3">
      <w:pPr>
        <w:pStyle w:val="Prrafodelista"/>
        <w:numPr>
          <w:ilvl w:val="0"/>
          <w:numId w:val="2"/>
        </w:numPr>
        <w:spacing w:before="100" w:beforeAutospacing="1" w:after="100" w:afterAutospacing="1" w:line="360" w:lineRule="auto"/>
        <w:jc w:val="both"/>
        <w:rPr>
          <w:rFonts w:ascii="Arial Narrow" w:hAnsi="Arial Narrow" w:cs="Arial"/>
          <w:sz w:val="24"/>
          <w:szCs w:val="24"/>
        </w:rPr>
      </w:pPr>
      <w:r w:rsidRPr="00CD728B">
        <w:rPr>
          <w:rFonts w:ascii="Arial Narrow" w:hAnsi="Arial Narrow" w:cs="Arial"/>
          <w:sz w:val="24"/>
          <w:szCs w:val="24"/>
        </w:rPr>
        <w:t xml:space="preserve">Fracción XXIII, con un ICP de </w:t>
      </w:r>
      <w:r w:rsidR="006E7846" w:rsidRPr="00CD728B">
        <w:rPr>
          <w:rFonts w:ascii="Arial Narrow" w:hAnsi="Arial Narrow" w:cs="Arial"/>
          <w:sz w:val="24"/>
          <w:szCs w:val="24"/>
        </w:rPr>
        <w:t>43.75</w:t>
      </w:r>
      <w:r w:rsidRPr="00CD728B">
        <w:rPr>
          <w:rFonts w:ascii="Arial Narrow" w:hAnsi="Arial Narrow" w:cs="Arial"/>
          <w:sz w:val="24"/>
          <w:szCs w:val="24"/>
        </w:rPr>
        <w:t>% consistente en la publicación de las resoluciones dictadas por los órganos de contr</w:t>
      </w:r>
      <w:r w:rsidR="00273629">
        <w:rPr>
          <w:rFonts w:ascii="Arial Narrow" w:hAnsi="Arial Narrow" w:cs="Arial"/>
          <w:sz w:val="24"/>
          <w:szCs w:val="24"/>
        </w:rPr>
        <w:t xml:space="preserve">ol. </w:t>
      </w:r>
      <w:r w:rsidRPr="00CD728B">
        <w:rPr>
          <w:rFonts w:ascii="Arial Narrow" w:hAnsi="Arial Narrow" w:cs="Arial"/>
          <w:sz w:val="24"/>
          <w:szCs w:val="24"/>
        </w:rPr>
        <w:t xml:space="preserve">Los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w:t>
      </w:r>
      <w:r w:rsidRPr="00CD728B">
        <w:rPr>
          <w:rFonts w:ascii="Arial Narrow" w:hAnsi="Arial Narrow" w:cs="Arial"/>
          <w:sz w:val="24"/>
          <w:szCs w:val="24"/>
          <w:lang w:val="es-ES_tradnl"/>
        </w:rPr>
        <w:t>en los casos donde no publicaron</w:t>
      </w:r>
      <w:r w:rsidRPr="00CD728B">
        <w:rPr>
          <w:rFonts w:ascii="Arial Narrow" w:hAnsi="Arial Narrow" w:cs="Arial"/>
          <w:sz w:val="24"/>
          <w:szCs w:val="24"/>
          <w:lang w:val="es-MX"/>
        </w:rPr>
        <w:t xml:space="preserve"> información, no fundaron ni motivaron la ausencia de la misma</w:t>
      </w:r>
      <w:r w:rsidRPr="00CD728B">
        <w:rPr>
          <w:rFonts w:ascii="Arial Narrow" w:hAnsi="Arial Narrow" w:cs="Arial"/>
          <w:sz w:val="24"/>
          <w:szCs w:val="24"/>
        </w:rPr>
        <w:t>.</w:t>
      </w:r>
    </w:p>
    <w:p w:rsidR="008D44C3" w:rsidRPr="00CD728B" w:rsidRDefault="008D44C3" w:rsidP="008D44C3">
      <w:pPr>
        <w:pStyle w:val="Prrafodelista"/>
        <w:spacing w:before="100" w:beforeAutospacing="1" w:after="100" w:afterAutospacing="1" w:line="360" w:lineRule="auto"/>
        <w:jc w:val="both"/>
        <w:rPr>
          <w:rFonts w:ascii="Arial Narrow" w:hAnsi="Arial Narrow" w:cs="Arial"/>
          <w:sz w:val="24"/>
          <w:szCs w:val="24"/>
        </w:rPr>
      </w:pPr>
    </w:p>
    <w:p w:rsidR="008D44C3" w:rsidRPr="00CD728B" w:rsidRDefault="00D50026" w:rsidP="008D44C3">
      <w:pPr>
        <w:pStyle w:val="Prrafodelista"/>
        <w:numPr>
          <w:ilvl w:val="0"/>
          <w:numId w:val="2"/>
        </w:numPr>
        <w:spacing w:before="100" w:beforeAutospacing="1" w:after="100" w:afterAutospacing="1" w:line="360" w:lineRule="auto"/>
        <w:jc w:val="both"/>
        <w:rPr>
          <w:rFonts w:ascii="Arial Narrow" w:hAnsi="Arial Narrow" w:cs="Arial"/>
          <w:sz w:val="24"/>
          <w:szCs w:val="24"/>
        </w:rPr>
      </w:pPr>
      <w:r w:rsidRPr="00CD728B">
        <w:rPr>
          <w:rFonts w:ascii="Arial Narrow" w:hAnsi="Arial Narrow" w:cs="Arial"/>
          <w:sz w:val="24"/>
          <w:szCs w:val="24"/>
        </w:rPr>
        <w:t xml:space="preserve">Fracción XXIV, con un ICP de </w:t>
      </w:r>
      <w:r w:rsidR="006E7846" w:rsidRPr="00CD728B">
        <w:rPr>
          <w:rFonts w:ascii="Arial Narrow" w:hAnsi="Arial Narrow" w:cs="Arial"/>
          <w:sz w:val="24"/>
          <w:szCs w:val="24"/>
        </w:rPr>
        <w:t>43.75</w:t>
      </w:r>
      <w:r w:rsidRPr="00CD728B">
        <w:rPr>
          <w:rFonts w:ascii="Arial Narrow" w:hAnsi="Arial Narrow" w:cs="Arial"/>
          <w:sz w:val="24"/>
          <w:szCs w:val="24"/>
        </w:rPr>
        <w:t xml:space="preserve">% en la cual se solicita la publicación de los </w:t>
      </w:r>
      <w:r w:rsidRPr="00CD728B">
        <w:rPr>
          <w:rFonts w:ascii="Arial Narrow" w:hAnsi="Arial Narrow" w:cs="Arial"/>
          <w:sz w:val="24"/>
          <w:szCs w:val="24"/>
          <w:lang w:val="es-MX"/>
        </w:rPr>
        <w:t>montos de financiamiento público otorgados mensualmente</w:t>
      </w:r>
      <w:r w:rsidRPr="00CD728B">
        <w:rPr>
          <w:rFonts w:ascii="Arial Narrow" w:hAnsi="Arial Narrow" w:cs="Arial"/>
          <w:sz w:val="24"/>
          <w:szCs w:val="24"/>
        </w:rPr>
        <w:t xml:space="preserve">. Los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no actualizaron la información conforme indica la normatividad vigente y en algunos casos </w:t>
      </w:r>
      <w:r w:rsidRPr="00CD728B">
        <w:rPr>
          <w:rFonts w:ascii="Arial Narrow" w:hAnsi="Arial Narrow" w:cs="Arial"/>
          <w:sz w:val="24"/>
          <w:szCs w:val="24"/>
          <w:lang w:val="es-MX"/>
        </w:rPr>
        <w:t>no fundaron ni motivaron la ausencia de la misma</w:t>
      </w:r>
      <w:r w:rsidR="008D44C3" w:rsidRPr="00CD728B">
        <w:rPr>
          <w:rFonts w:ascii="Arial Narrow" w:hAnsi="Arial Narrow" w:cs="Arial"/>
          <w:sz w:val="24"/>
          <w:szCs w:val="24"/>
        </w:rPr>
        <w:t>.</w:t>
      </w:r>
    </w:p>
    <w:p w:rsidR="008D44C3" w:rsidRPr="00CD728B" w:rsidRDefault="008D44C3" w:rsidP="008D44C3">
      <w:pPr>
        <w:pStyle w:val="Prrafodelista"/>
        <w:spacing w:before="100" w:beforeAutospacing="1" w:after="100" w:afterAutospacing="1" w:line="360" w:lineRule="auto"/>
        <w:jc w:val="both"/>
        <w:rPr>
          <w:rFonts w:ascii="Arial Narrow" w:hAnsi="Arial Narrow" w:cs="Arial"/>
          <w:sz w:val="24"/>
          <w:szCs w:val="24"/>
        </w:rPr>
      </w:pPr>
    </w:p>
    <w:p w:rsidR="008D44C3" w:rsidRPr="00CD728B" w:rsidRDefault="00D50026" w:rsidP="008D44C3">
      <w:pPr>
        <w:pStyle w:val="Prrafodelista"/>
        <w:numPr>
          <w:ilvl w:val="0"/>
          <w:numId w:val="2"/>
        </w:numPr>
        <w:spacing w:before="100" w:beforeAutospacing="1" w:after="100" w:afterAutospacing="1" w:line="360" w:lineRule="auto"/>
        <w:jc w:val="both"/>
        <w:rPr>
          <w:rFonts w:ascii="Arial Narrow" w:hAnsi="Arial Narrow" w:cs="Arial"/>
          <w:sz w:val="24"/>
          <w:szCs w:val="24"/>
        </w:rPr>
      </w:pPr>
      <w:r w:rsidRPr="00CD728B">
        <w:rPr>
          <w:rFonts w:ascii="Arial Narrow" w:hAnsi="Arial Narrow" w:cs="Arial"/>
          <w:sz w:val="24"/>
          <w:szCs w:val="24"/>
        </w:rPr>
        <w:lastRenderedPageBreak/>
        <w:t xml:space="preserve">Fracción XXV, con un ICP de </w:t>
      </w:r>
      <w:r w:rsidR="006E7846" w:rsidRPr="00CD728B">
        <w:rPr>
          <w:rFonts w:ascii="Arial Narrow" w:hAnsi="Arial Narrow" w:cs="Arial"/>
          <w:sz w:val="24"/>
          <w:szCs w:val="24"/>
        </w:rPr>
        <w:t>43.75</w:t>
      </w:r>
      <w:r w:rsidRPr="00CD728B">
        <w:rPr>
          <w:rFonts w:ascii="Arial Narrow" w:hAnsi="Arial Narrow" w:cs="Arial"/>
          <w:sz w:val="24"/>
          <w:szCs w:val="24"/>
        </w:rPr>
        <w:t xml:space="preserve">% en la cual se solicita la publicación del estado de situación financiera, patrimonial y el inventario de los bienes inmuebles. Los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no actualizaron la información conforme indica la normatividad vigente y en algunos casos </w:t>
      </w:r>
      <w:r w:rsidRPr="00CD728B">
        <w:rPr>
          <w:rFonts w:ascii="Arial Narrow" w:hAnsi="Arial Narrow" w:cs="Arial"/>
          <w:sz w:val="24"/>
          <w:szCs w:val="24"/>
          <w:lang w:val="es-MX"/>
        </w:rPr>
        <w:t>no fundaron ni motivaron la ausencia de la misma</w:t>
      </w:r>
      <w:r w:rsidRPr="00CD728B">
        <w:rPr>
          <w:rFonts w:ascii="Arial Narrow" w:hAnsi="Arial Narrow" w:cs="Arial"/>
          <w:sz w:val="24"/>
          <w:szCs w:val="24"/>
        </w:rPr>
        <w:t>.</w:t>
      </w:r>
    </w:p>
    <w:p w:rsidR="008D44C3" w:rsidRPr="00CD728B" w:rsidRDefault="008D44C3" w:rsidP="008D44C3">
      <w:pPr>
        <w:pStyle w:val="Prrafodelista"/>
        <w:spacing w:before="100" w:beforeAutospacing="1" w:after="100" w:afterAutospacing="1" w:line="360" w:lineRule="auto"/>
        <w:jc w:val="both"/>
        <w:rPr>
          <w:rFonts w:ascii="Arial Narrow" w:hAnsi="Arial Narrow" w:cs="Arial"/>
          <w:sz w:val="24"/>
          <w:szCs w:val="24"/>
        </w:rPr>
      </w:pPr>
    </w:p>
    <w:p w:rsidR="006E7846" w:rsidRPr="00CD728B" w:rsidRDefault="00D50026" w:rsidP="006E7846">
      <w:pPr>
        <w:pStyle w:val="Prrafodelista"/>
        <w:numPr>
          <w:ilvl w:val="0"/>
          <w:numId w:val="2"/>
        </w:numPr>
        <w:spacing w:before="100" w:beforeAutospacing="1" w:after="100" w:afterAutospacing="1" w:line="360" w:lineRule="auto"/>
        <w:jc w:val="both"/>
        <w:rPr>
          <w:rFonts w:ascii="Arial Narrow" w:hAnsi="Arial Narrow" w:cs="Arial"/>
          <w:sz w:val="24"/>
          <w:szCs w:val="24"/>
        </w:rPr>
      </w:pPr>
      <w:r w:rsidRPr="00CD728B">
        <w:rPr>
          <w:rFonts w:ascii="Arial Narrow" w:hAnsi="Arial Narrow" w:cs="Arial"/>
          <w:sz w:val="24"/>
          <w:szCs w:val="24"/>
        </w:rPr>
        <w:t xml:space="preserve">Fracción XXVI, con un ICP de </w:t>
      </w:r>
      <w:r w:rsidR="006E7846" w:rsidRPr="00CD728B">
        <w:rPr>
          <w:rFonts w:ascii="Arial Narrow" w:hAnsi="Arial Narrow" w:cs="Arial"/>
          <w:sz w:val="24"/>
          <w:szCs w:val="24"/>
        </w:rPr>
        <w:t>43.75</w:t>
      </w:r>
      <w:r w:rsidRPr="00CD728B">
        <w:rPr>
          <w:rFonts w:ascii="Arial Narrow" w:hAnsi="Arial Narrow" w:cs="Arial"/>
          <w:sz w:val="24"/>
          <w:szCs w:val="24"/>
        </w:rPr>
        <w:t xml:space="preserve">% en la cual se solicita la publicación de las resoluciones que emitan sus órganos disciplinarios de cualquier nivel. Los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no actualizaron la información conforme indica la normatividad vigente y en algunos casos </w:t>
      </w:r>
      <w:r w:rsidRPr="00CD728B">
        <w:rPr>
          <w:rFonts w:ascii="Arial Narrow" w:hAnsi="Arial Narrow" w:cs="Arial"/>
          <w:sz w:val="24"/>
          <w:szCs w:val="24"/>
          <w:lang w:val="es-ES_tradnl"/>
        </w:rPr>
        <w:t>n</w:t>
      </w:r>
      <w:r w:rsidRPr="00CD728B">
        <w:rPr>
          <w:rFonts w:ascii="Arial Narrow" w:hAnsi="Arial Narrow" w:cs="Arial"/>
          <w:sz w:val="24"/>
          <w:szCs w:val="24"/>
          <w:lang w:val="es-MX"/>
        </w:rPr>
        <w:t>o fundaron ni motivaron la ausencia de la misma</w:t>
      </w:r>
      <w:r w:rsidRPr="00CD728B">
        <w:rPr>
          <w:rFonts w:ascii="Arial Narrow" w:hAnsi="Arial Narrow" w:cs="Arial"/>
          <w:sz w:val="24"/>
          <w:szCs w:val="24"/>
        </w:rPr>
        <w:t>.</w:t>
      </w:r>
    </w:p>
    <w:p w:rsidR="006E7846" w:rsidRPr="00CD728B" w:rsidRDefault="006E7846" w:rsidP="006E7846">
      <w:pPr>
        <w:pStyle w:val="Prrafodelista"/>
        <w:spacing w:before="100" w:beforeAutospacing="1" w:after="100" w:afterAutospacing="1" w:line="360" w:lineRule="auto"/>
        <w:jc w:val="both"/>
        <w:rPr>
          <w:rFonts w:ascii="Arial Narrow" w:hAnsi="Arial Narrow" w:cs="Arial"/>
          <w:sz w:val="24"/>
          <w:szCs w:val="24"/>
        </w:rPr>
      </w:pPr>
    </w:p>
    <w:p w:rsidR="00D50026" w:rsidRPr="00CD728B" w:rsidRDefault="00D50026" w:rsidP="002E7D47">
      <w:pPr>
        <w:pStyle w:val="Ttulo3"/>
        <w:numPr>
          <w:ilvl w:val="1"/>
          <w:numId w:val="28"/>
        </w:numPr>
        <w:contextualSpacing/>
        <w:jc w:val="both"/>
        <w:rPr>
          <w:rFonts w:ascii="Arial Narrow" w:hAnsi="Arial Narrow"/>
          <w:b/>
          <w:color w:val="auto"/>
        </w:rPr>
      </w:pPr>
      <w:bookmarkStart w:id="79" w:name="_Toc14293780"/>
      <w:r w:rsidRPr="00CD728B">
        <w:rPr>
          <w:rFonts w:ascii="Arial Narrow" w:hAnsi="Arial Narrow"/>
          <w:b/>
          <w:color w:val="auto"/>
        </w:rPr>
        <w:t xml:space="preserve">Análisis del </w:t>
      </w:r>
      <w:r w:rsidR="009D7771">
        <w:rPr>
          <w:rFonts w:ascii="Arial Narrow" w:hAnsi="Arial Narrow"/>
          <w:b/>
          <w:color w:val="auto"/>
        </w:rPr>
        <w:t>Artículo</w:t>
      </w:r>
      <w:r w:rsidRPr="00CD728B">
        <w:rPr>
          <w:rFonts w:ascii="Arial Narrow" w:hAnsi="Arial Narrow"/>
          <w:b/>
          <w:color w:val="auto"/>
        </w:rPr>
        <w:t xml:space="preserve"> 143</w:t>
      </w:r>
      <w:bookmarkEnd w:id="79"/>
    </w:p>
    <w:p w:rsidR="008D44C3" w:rsidRPr="00CD728B" w:rsidRDefault="008D44C3" w:rsidP="008D44C3">
      <w:pPr>
        <w:rPr>
          <w:rFonts w:ascii="Arial Narrow" w:hAnsi="Arial Narrow"/>
        </w:rPr>
      </w:pPr>
    </w:p>
    <w:p w:rsidR="008D44C3" w:rsidRPr="00CD728B" w:rsidRDefault="00F21221"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 xml:space="preserve">Los partidos políticos </w:t>
      </w:r>
      <w:r w:rsidR="00D50026" w:rsidRPr="00CD728B">
        <w:rPr>
          <w:rFonts w:ascii="Arial Narrow" w:hAnsi="Arial Narrow" w:cs="Arial"/>
          <w:sz w:val="24"/>
          <w:szCs w:val="24"/>
        </w:rPr>
        <w:t>alcanzaron un ICP de 100%; por lo que se encuentra dentro del área de cumplimiento total.</w:t>
      </w:r>
    </w:p>
    <w:p w:rsidR="008D44C3" w:rsidRPr="00CD728B" w:rsidRDefault="008D44C3" w:rsidP="002E7D47">
      <w:pPr>
        <w:spacing w:before="100" w:beforeAutospacing="1" w:after="100" w:afterAutospacing="1" w:line="360" w:lineRule="auto"/>
        <w:contextualSpacing/>
        <w:jc w:val="both"/>
        <w:rPr>
          <w:rFonts w:ascii="Arial Narrow" w:hAnsi="Arial Narrow" w:cs="Arial"/>
          <w:sz w:val="24"/>
          <w:szCs w:val="24"/>
        </w:rPr>
      </w:pPr>
    </w:p>
    <w:p w:rsidR="00D50026" w:rsidRPr="00CD728B" w:rsidRDefault="00D50026" w:rsidP="002E7D47">
      <w:pPr>
        <w:pStyle w:val="Ttulo3"/>
        <w:numPr>
          <w:ilvl w:val="1"/>
          <w:numId w:val="28"/>
        </w:numPr>
        <w:contextualSpacing/>
        <w:jc w:val="both"/>
        <w:rPr>
          <w:rFonts w:ascii="Arial Narrow" w:hAnsi="Arial Narrow"/>
          <w:b/>
          <w:color w:val="auto"/>
        </w:rPr>
      </w:pPr>
      <w:bookmarkStart w:id="80" w:name="_Toc14293781"/>
      <w:r w:rsidRPr="00CD728B">
        <w:rPr>
          <w:rFonts w:ascii="Arial Narrow" w:hAnsi="Arial Narrow"/>
          <w:b/>
          <w:color w:val="auto"/>
        </w:rPr>
        <w:t xml:space="preserve">Análisis del </w:t>
      </w:r>
      <w:r w:rsidR="009D7771">
        <w:rPr>
          <w:rFonts w:ascii="Arial Narrow" w:hAnsi="Arial Narrow"/>
          <w:b/>
          <w:color w:val="auto"/>
        </w:rPr>
        <w:t>Artículo</w:t>
      </w:r>
      <w:r w:rsidRPr="00CD728B">
        <w:rPr>
          <w:rFonts w:ascii="Arial Narrow" w:hAnsi="Arial Narrow"/>
          <w:b/>
          <w:color w:val="auto"/>
        </w:rPr>
        <w:t xml:space="preserve"> 145</w:t>
      </w:r>
      <w:bookmarkEnd w:id="80"/>
    </w:p>
    <w:p w:rsidR="008D44C3" w:rsidRPr="00CD728B" w:rsidRDefault="008D44C3" w:rsidP="008D44C3">
      <w:pPr>
        <w:rPr>
          <w:rFonts w:ascii="Arial Narrow" w:hAnsi="Arial Narrow"/>
        </w:rPr>
      </w:pPr>
    </w:p>
    <w:p w:rsidR="00D50026" w:rsidRPr="00CD728B" w:rsidRDefault="00D50026"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 xml:space="preserve">Los partidos políticos obtuvieron un ICP de </w:t>
      </w:r>
      <w:r w:rsidR="008D44C3" w:rsidRPr="00CD728B">
        <w:rPr>
          <w:rFonts w:ascii="Arial Narrow" w:hAnsi="Arial Narrow" w:cs="Arial"/>
          <w:sz w:val="24"/>
          <w:szCs w:val="24"/>
        </w:rPr>
        <w:t>95</w:t>
      </w:r>
      <w:r w:rsidRPr="00CD728B">
        <w:rPr>
          <w:rFonts w:ascii="Arial Narrow" w:hAnsi="Arial Narrow" w:cs="Arial"/>
          <w:sz w:val="24"/>
          <w:szCs w:val="24"/>
        </w:rPr>
        <w:t xml:space="preserve">%, lo anterior en atención a que 8 de los 9 partidos cumplieron cabalmente con una señalización fácilmente identificable y accesible que permita al ciudadano ingresar al sitio de transparencia del </w:t>
      </w:r>
      <w:r w:rsidR="005A4A11" w:rsidRPr="00CD728B">
        <w:rPr>
          <w:rFonts w:ascii="Arial Narrow" w:hAnsi="Arial Narrow" w:cs="Arial"/>
          <w:sz w:val="24"/>
          <w:szCs w:val="24"/>
        </w:rPr>
        <w:t>Sujeto Obligado</w:t>
      </w:r>
      <w:r w:rsidRPr="00CD728B">
        <w:rPr>
          <w:rFonts w:ascii="Arial Narrow" w:hAnsi="Arial Narrow" w:cs="Arial"/>
          <w:sz w:val="24"/>
          <w:szCs w:val="24"/>
        </w:rPr>
        <w:t>. Sin embargo, el partido Nueva Alianza no cuenta con su portal de internet.</w:t>
      </w:r>
    </w:p>
    <w:p w:rsidR="008D44C3" w:rsidRPr="00CD728B" w:rsidRDefault="008D44C3" w:rsidP="002E7D47">
      <w:pPr>
        <w:spacing w:before="100" w:beforeAutospacing="1" w:after="100" w:afterAutospacing="1" w:line="360" w:lineRule="auto"/>
        <w:contextualSpacing/>
        <w:jc w:val="both"/>
        <w:rPr>
          <w:rFonts w:ascii="Arial Narrow" w:hAnsi="Arial Narrow" w:cs="Arial"/>
          <w:sz w:val="24"/>
          <w:szCs w:val="24"/>
        </w:rPr>
      </w:pPr>
    </w:p>
    <w:p w:rsidR="00D50026" w:rsidRPr="001639CC" w:rsidRDefault="00D50026" w:rsidP="002E7D47">
      <w:pPr>
        <w:pStyle w:val="Ttulo3"/>
        <w:numPr>
          <w:ilvl w:val="1"/>
          <w:numId w:val="28"/>
        </w:numPr>
        <w:contextualSpacing/>
        <w:jc w:val="both"/>
        <w:rPr>
          <w:rFonts w:ascii="Arial Narrow" w:hAnsi="Arial Narrow"/>
          <w:b/>
          <w:color w:val="auto"/>
        </w:rPr>
      </w:pPr>
      <w:bookmarkStart w:id="81" w:name="_Toc14293782"/>
      <w:r w:rsidRPr="001639CC">
        <w:rPr>
          <w:rFonts w:ascii="Arial Narrow" w:hAnsi="Arial Narrow"/>
          <w:b/>
          <w:color w:val="auto"/>
        </w:rPr>
        <w:lastRenderedPageBreak/>
        <w:t xml:space="preserve">Análisis del </w:t>
      </w:r>
      <w:r w:rsidR="009D7771">
        <w:rPr>
          <w:rFonts w:ascii="Arial Narrow" w:hAnsi="Arial Narrow"/>
          <w:b/>
          <w:color w:val="auto"/>
        </w:rPr>
        <w:t>Artículo</w:t>
      </w:r>
      <w:r w:rsidRPr="001639CC">
        <w:rPr>
          <w:rFonts w:ascii="Arial Narrow" w:hAnsi="Arial Narrow"/>
          <w:b/>
          <w:color w:val="auto"/>
        </w:rPr>
        <w:t xml:space="preserve"> 146</w:t>
      </w:r>
      <w:bookmarkEnd w:id="81"/>
    </w:p>
    <w:p w:rsidR="00D50026" w:rsidRPr="00CD728B" w:rsidRDefault="001639CC" w:rsidP="002E7D47">
      <w:pPr>
        <w:spacing w:before="100" w:beforeAutospacing="1" w:after="100" w:afterAutospacing="1" w:line="360" w:lineRule="auto"/>
        <w:contextualSpacing/>
        <w:jc w:val="both"/>
        <w:rPr>
          <w:rFonts w:ascii="Arial Narrow" w:hAnsi="Arial Narrow" w:cs="Arial"/>
          <w:b/>
          <w:bCs/>
          <w:sz w:val="24"/>
          <w:szCs w:val="24"/>
        </w:rPr>
      </w:pPr>
      <w:r>
        <w:rPr>
          <w:noProof/>
          <w:lang w:val="es-MX" w:eastAsia="es-MX"/>
        </w:rPr>
        <w:drawing>
          <wp:inline distT="0" distB="0" distL="0" distR="0" wp14:anchorId="55B8A7AB" wp14:editId="2805263C">
            <wp:extent cx="5612130" cy="3162592"/>
            <wp:effectExtent l="0" t="0" r="7620" b="0"/>
            <wp:docPr id="43" name="Gráfico 43">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766F360-CB45-485B-95BD-8587264EF0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8D44C3" w:rsidRPr="00CD728B" w:rsidRDefault="008D44C3" w:rsidP="002E7D47">
      <w:pPr>
        <w:spacing w:before="100" w:beforeAutospacing="1" w:after="100" w:afterAutospacing="1" w:line="360" w:lineRule="auto"/>
        <w:contextualSpacing/>
        <w:jc w:val="both"/>
        <w:rPr>
          <w:rFonts w:ascii="Arial Narrow" w:hAnsi="Arial Narrow" w:cs="Arial"/>
          <w:sz w:val="24"/>
          <w:szCs w:val="24"/>
        </w:rPr>
      </w:pPr>
    </w:p>
    <w:p w:rsidR="00D50026" w:rsidRPr="00CD728B" w:rsidRDefault="00D50026"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 xml:space="preserve">Los partidos obtuvieron un ICP de </w:t>
      </w:r>
      <w:r w:rsidR="008D44C3" w:rsidRPr="00CD728B">
        <w:rPr>
          <w:rFonts w:ascii="Arial Narrow" w:hAnsi="Arial Narrow" w:cs="Arial"/>
          <w:sz w:val="24"/>
          <w:szCs w:val="24"/>
        </w:rPr>
        <w:t>44.50</w:t>
      </w:r>
      <w:r w:rsidRPr="00CD728B">
        <w:rPr>
          <w:rFonts w:ascii="Arial Narrow" w:hAnsi="Arial Narrow" w:cs="Arial"/>
          <w:sz w:val="24"/>
          <w:szCs w:val="24"/>
        </w:rPr>
        <w:t>%; debido a que Movimiento Ciudadano en la Ciudad de México y Partido Revolucionario Institucional en la Ciudad de México cumplieron totalmente, el Partido de la Revolución Democrática en la Ciudad de México cumplió parcialmente, el Partido Humanista en la Ciudad de México incumplió parcialmente y cinco</w:t>
      </w:r>
      <w:r w:rsidRPr="00CD728B">
        <w:rPr>
          <w:rStyle w:val="Refdenotaalpie"/>
          <w:rFonts w:ascii="Arial Narrow" w:hAnsi="Arial Narrow" w:cs="Arial"/>
          <w:sz w:val="24"/>
          <w:szCs w:val="24"/>
        </w:rPr>
        <w:footnoteReference w:id="62"/>
      </w:r>
      <w:r w:rsidRPr="00CD728B">
        <w:rPr>
          <w:rFonts w:ascii="Arial Narrow" w:hAnsi="Arial Narrow" w:cs="Arial"/>
          <w:sz w:val="24"/>
          <w:szCs w:val="24"/>
        </w:rPr>
        <w:t xml:space="preserve"> incumplieron totalmente. Los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deberán publicar dentro del mes de enero de cada año, su calendario de actualización.</w:t>
      </w:r>
    </w:p>
    <w:p w:rsidR="00D50026" w:rsidRPr="001639CC" w:rsidRDefault="00D50026" w:rsidP="002E7D47">
      <w:pPr>
        <w:pStyle w:val="Ttulo3"/>
        <w:numPr>
          <w:ilvl w:val="1"/>
          <w:numId w:val="28"/>
        </w:numPr>
        <w:contextualSpacing/>
        <w:jc w:val="both"/>
        <w:rPr>
          <w:rFonts w:ascii="Arial Narrow" w:hAnsi="Arial Narrow"/>
          <w:b/>
          <w:color w:val="auto"/>
        </w:rPr>
      </w:pPr>
      <w:bookmarkStart w:id="82" w:name="_Toc14293783"/>
      <w:r w:rsidRPr="001639CC">
        <w:rPr>
          <w:rFonts w:ascii="Arial Narrow" w:hAnsi="Arial Narrow"/>
          <w:b/>
          <w:color w:val="auto"/>
        </w:rPr>
        <w:lastRenderedPageBreak/>
        <w:t xml:space="preserve">Análisis del </w:t>
      </w:r>
      <w:r w:rsidR="009D7771">
        <w:rPr>
          <w:rFonts w:ascii="Arial Narrow" w:hAnsi="Arial Narrow"/>
          <w:b/>
          <w:color w:val="auto"/>
        </w:rPr>
        <w:t>Artículo</w:t>
      </w:r>
      <w:r w:rsidRPr="001639CC">
        <w:rPr>
          <w:rFonts w:ascii="Arial Narrow" w:hAnsi="Arial Narrow"/>
          <w:b/>
          <w:color w:val="auto"/>
        </w:rPr>
        <w:t xml:space="preserve"> 147</w:t>
      </w:r>
      <w:bookmarkEnd w:id="82"/>
      <w:r w:rsidRPr="001639CC">
        <w:rPr>
          <w:rFonts w:ascii="Arial Narrow" w:hAnsi="Arial Narrow"/>
          <w:b/>
          <w:color w:val="auto"/>
        </w:rPr>
        <w:t xml:space="preserve"> </w:t>
      </w:r>
    </w:p>
    <w:p w:rsidR="00D50026" w:rsidRPr="00CD728B" w:rsidRDefault="001639CC" w:rsidP="002E7D47">
      <w:pPr>
        <w:spacing w:before="100" w:beforeAutospacing="1" w:after="100" w:afterAutospacing="1" w:line="360" w:lineRule="auto"/>
        <w:contextualSpacing/>
        <w:jc w:val="both"/>
        <w:rPr>
          <w:rFonts w:ascii="Arial Narrow" w:hAnsi="Arial Narrow" w:cs="Arial"/>
          <w:b/>
          <w:bCs/>
          <w:sz w:val="24"/>
          <w:szCs w:val="24"/>
        </w:rPr>
      </w:pPr>
      <w:r>
        <w:rPr>
          <w:noProof/>
          <w:lang w:val="es-MX" w:eastAsia="es-MX"/>
        </w:rPr>
        <w:drawing>
          <wp:inline distT="0" distB="0" distL="0" distR="0" wp14:anchorId="6898A0D7" wp14:editId="425F382A">
            <wp:extent cx="5612130" cy="3128327"/>
            <wp:effectExtent l="0" t="0" r="7620" b="15240"/>
            <wp:docPr id="44" name="Gráfico 44">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8C3E994-E35B-4BC4-9478-692774DA4A2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8D44C3" w:rsidRPr="00CD728B" w:rsidRDefault="008D44C3" w:rsidP="002E7D47">
      <w:pPr>
        <w:spacing w:before="100" w:beforeAutospacing="1" w:after="100" w:afterAutospacing="1" w:line="360" w:lineRule="auto"/>
        <w:contextualSpacing/>
        <w:jc w:val="both"/>
        <w:rPr>
          <w:rFonts w:ascii="Arial Narrow" w:hAnsi="Arial Narrow" w:cs="Arial"/>
          <w:sz w:val="24"/>
          <w:szCs w:val="24"/>
        </w:rPr>
      </w:pPr>
    </w:p>
    <w:p w:rsidR="00D50026" w:rsidRPr="00CD728B" w:rsidRDefault="00D50026"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Por último, los partidos p</w:t>
      </w:r>
      <w:r w:rsidR="008D44C3" w:rsidRPr="00CD728B">
        <w:rPr>
          <w:rFonts w:ascii="Arial Narrow" w:hAnsi="Arial Narrow" w:cs="Arial"/>
          <w:sz w:val="24"/>
          <w:szCs w:val="24"/>
        </w:rPr>
        <w:t>olíticos obtuvieron un ICP de 91</w:t>
      </w:r>
      <w:r w:rsidRPr="00CD728B">
        <w:rPr>
          <w:rFonts w:ascii="Arial Narrow" w:hAnsi="Arial Narrow" w:cs="Arial"/>
          <w:sz w:val="24"/>
          <w:szCs w:val="24"/>
        </w:rPr>
        <w:t>%; debido a que siete</w:t>
      </w:r>
      <w:r w:rsidRPr="00CD728B">
        <w:rPr>
          <w:rStyle w:val="Refdenotaalpie"/>
          <w:rFonts w:ascii="Arial Narrow" w:hAnsi="Arial Narrow" w:cs="Arial"/>
          <w:sz w:val="24"/>
          <w:szCs w:val="24"/>
        </w:rPr>
        <w:footnoteReference w:id="63"/>
      </w:r>
      <w:r w:rsidRPr="00CD728B">
        <w:rPr>
          <w:rFonts w:ascii="Arial Narrow" w:hAnsi="Arial Narrow" w:cs="Arial"/>
          <w:sz w:val="24"/>
          <w:szCs w:val="24"/>
        </w:rPr>
        <w:t xml:space="preserve"> tuvieron un cumplimiento total y dos</w:t>
      </w:r>
      <w:r w:rsidRPr="00CD728B">
        <w:rPr>
          <w:rStyle w:val="Refdenotaalpie"/>
          <w:rFonts w:ascii="Arial Narrow" w:hAnsi="Arial Narrow" w:cs="Arial"/>
          <w:sz w:val="24"/>
          <w:szCs w:val="24"/>
        </w:rPr>
        <w:footnoteReference w:id="64"/>
      </w:r>
      <w:r w:rsidRPr="00CD728B">
        <w:rPr>
          <w:rFonts w:ascii="Arial Narrow" w:hAnsi="Arial Narrow" w:cs="Arial"/>
          <w:sz w:val="24"/>
          <w:szCs w:val="24"/>
        </w:rPr>
        <w:t xml:space="preserve"> un incumplimiento total. Los errores que cometieron los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respecto a este </w:t>
      </w:r>
      <w:r w:rsidR="009D7771">
        <w:rPr>
          <w:rFonts w:ascii="Arial Narrow" w:hAnsi="Arial Narrow" w:cs="Arial"/>
          <w:sz w:val="24"/>
          <w:szCs w:val="24"/>
        </w:rPr>
        <w:t>Artículo</w:t>
      </w:r>
      <w:r w:rsidRPr="00CD728B">
        <w:rPr>
          <w:rFonts w:ascii="Arial Narrow" w:hAnsi="Arial Narrow" w:cs="Arial"/>
          <w:sz w:val="24"/>
          <w:szCs w:val="24"/>
        </w:rPr>
        <w:t xml:space="preserve"> se refiere a la no fundamentación y motivación de la falta de información.</w:t>
      </w:r>
    </w:p>
    <w:p w:rsidR="00AF69FA" w:rsidRPr="00CD728B" w:rsidRDefault="00AF69FA" w:rsidP="002E7D47">
      <w:pPr>
        <w:contextualSpacing/>
        <w:rPr>
          <w:rFonts w:ascii="Arial Narrow" w:eastAsiaTheme="majorEastAsia" w:hAnsi="Arial Narrow" w:cstheme="majorBidi"/>
          <w:b/>
          <w:sz w:val="24"/>
          <w:szCs w:val="24"/>
        </w:rPr>
      </w:pPr>
      <w:r w:rsidRPr="00CD728B">
        <w:rPr>
          <w:rFonts w:ascii="Arial Narrow" w:hAnsi="Arial Narrow"/>
          <w:b/>
          <w:sz w:val="24"/>
          <w:szCs w:val="24"/>
        </w:rPr>
        <w:br w:type="page"/>
      </w:r>
    </w:p>
    <w:p w:rsidR="00D50026" w:rsidRPr="00CD728B" w:rsidRDefault="00AF69FA" w:rsidP="002E7D47">
      <w:pPr>
        <w:pStyle w:val="Ttulo1"/>
        <w:numPr>
          <w:ilvl w:val="0"/>
          <w:numId w:val="9"/>
        </w:numPr>
        <w:contextualSpacing/>
        <w:rPr>
          <w:rFonts w:ascii="Arial Narrow" w:hAnsi="Arial Narrow"/>
          <w:b/>
          <w:color w:val="auto"/>
          <w:sz w:val="24"/>
          <w:szCs w:val="24"/>
        </w:rPr>
      </w:pPr>
      <w:bookmarkStart w:id="83" w:name="_Toc14293784"/>
      <w:r w:rsidRPr="00CD728B">
        <w:rPr>
          <w:rFonts w:ascii="Arial Narrow" w:hAnsi="Arial Narrow"/>
          <w:b/>
          <w:color w:val="auto"/>
          <w:sz w:val="24"/>
          <w:szCs w:val="24"/>
        </w:rPr>
        <w:lastRenderedPageBreak/>
        <w:t>SINDICATOS</w:t>
      </w:r>
      <w:bookmarkEnd w:id="83"/>
      <w:r w:rsidRPr="00CD728B">
        <w:rPr>
          <w:rFonts w:ascii="Arial Narrow" w:hAnsi="Arial Narrow"/>
          <w:b/>
          <w:color w:val="auto"/>
          <w:sz w:val="24"/>
          <w:szCs w:val="24"/>
        </w:rPr>
        <w:t xml:space="preserve"> </w:t>
      </w:r>
    </w:p>
    <w:p w:rsidR="00D50026" w:rsidRPr="00CD728B" w:rsidRDefault="00D50026" w:rsidP="002E7D47">
      <w:pPr>
        <w:contextualSpacing/>
        <w:rPr>
          <w:rFonts w:ascii="Arial Narrow" w:hAnsi="Arial Narrow"/>
          <w:sz w:val="24"/>
          <w:szCs w:val="24"/>
        </w:rPr>
      </w:pPr>
    </w:p>
    <w:p w:rsidR="000D3657" w:rsidRPr="00CD728B" w:rsidRDefault="000D3657"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sz w:val="24"/>
          <w:szCs w:val="24"/>
        </w:rPr>
        <w:t xml:space="preserve">El ámbito de personas morales que reciben y ejercen recursos públicos, al 31 de diciembre de 2018 está conformado por 21 </w:t>
      </w:r>
      <w:r w:rsidR="003C3757" w:rsidRPr="00CD728B">
        <w:rPr>
          <w:rFonts w:ascii="Arial Narrow" w:hAnsi="Arial Narrow"/>
          <w:sz w:val="24"/>
          <w:szCs w:val="24"/>
        </w:rPr>
        <w:t>Sujetos Obligados</w:t>
      </w:r>
      <w:r w:rsidRPr="00CD728B">
        <w:rPr>
          <w:rFonts w:ascii="Arial Narrow" w:hAnsi="Arial Narrow"/>
          <w:sz w:val="24"/>
          <w:szCs w:val="24"/>
        </w:rPr>
        <w:t xml:space="preserve">, de conformidad con el </w:t>
      </w:r>
      <w:r w:rsidRPr="00CD728B">
        <w:rPr>
          <w:rFonts w:ascii="Arial Narrow" w:hAnsi="Arial Narrow" w:cs="Arial"/>
          <w:sz w:val="24"/>
          <w:szCs w:val="24"/>
        </w:rPr>
        <w:t>Padrón</w:t>
      </w:r>
      <w:r w:rsidRPr="00CD728B">
        <w:rPr>
          <w:rFonts w:ascii="Arial Narrow" w:hAnsi="Arial Narrow"/>
          <w:sz w:val="24"/>
          <w:szCs w:val="24"/>
        </w:rPr>
        <w:t xml:space="preserve">. Éstos, así como su </w:t>
      </w:r>
      <w:r w:rsidRPr="00CD728B">
        <w:rPr>
          <w:rFonts w:ascii="Arial Narrow" w:hAnsi="Arial Narrow" w:cs="Arial"/>
          <w:sz w:val="24"/>
          <w:szCs w:val="24"/>
        </w:rPr>
        <w:t>Índice de Cumplimiento de Obligaciones de Transparencia del Portal de Internet (</w:t>
      </w:r>
      <w:r w:rsidR="00623A69">
        <w:rPr>
          <w:rFonts w:ascii="Arial Narrow" w:hAnsi="Arial Narrow" w:cs="Arial"/>
          <w:sz w:val="24"/>
          <w:szCs w:val="24"/>
        </w:rPr>
        <w:t>ICOT-PT</w:t>
      </w:r>
      <w:r w:rsidRPr="00CD728B">
        <w:rPr>
          <w:rFonts w:ascii="Arial Narrow" w:hAnsi="Arial Narrow" w:cs="Arial"/>
          <w:sz w:val="24"/>
          <w:szCs w:val="24"/>
        </w:rPr>
        <w:t>), el de la PNT (ICOT-PNT)</w:t>
      </w:r>
      <w:r w:rsidRPr="00CD728B">
        <w:rPr>
          <w:rFonts w:ascii="Arial Narrow" w:hAnsi="Arial Narrow"/>
          <w:sz w:val="24"/>
          <w:szCs w:val="24"/>
        </w:rPr>
        <w:t xml:space="preserve"> y el </w:t>
      </w:r>
      <w:r w:rsidRPr="00CD728B">
        <w:rPr>
          <w:rFonts w:ascii="Arial Narrow" w:hAnsi="Arial Narrow" w:cs="Arial"/>
          <w:sz w:val="24"/>
          <w:szCs w:val="24"/>
        </w:rPr>
        <w:t xml:space="preserve">Índice General de Cumplimiento de Obligaciones de Transparencia (IGOT) se presentan en la siguiente tabla, ordenados de forma descendente, respecto del IGOT: </w:t>
      </w:r>
    </w:p>
    <w:p w:rsidR="000D3657" w:rsidRPr="00CD728B" w:rsidRDefault="000D3657" w:rsidP="002E7D47">
      <w:pPr>
        <w:spacing w:before="100" w:beforeAutospacing="1" w:after="100" w:afterAutospacing="1" w:line="360" w:lineRule="auto"/>
        <w:contextualSpacing/>
        <w:jc w:val="both"/>
        <w:rPr>
          <w:rFonts w:ascii="Arial Narrow" w:hAnsi="Arial Narrow"/>
          <w:sz w:val="24"/>
          <w:szCs w:val="24"/>
        </w:rPr>
      </w:pPr>
    </w:p>
    <w:tbl>
      <w:tblPr>
        <w:tblW w:w="8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24"/>
        <w:gridCol w:w="709"/>
        <w:gridCol w:w="959"/>
        <w:gridCol w:w="1201"/>
      </w:tblGrid>
      <w:tr w:rsidR="001E0121" w:rsidRPr="00CD728B" w:rsidTr="008D44C3">
        <w:trPr>
          <w:trHeight w:val="320"/>
          <w:tblHeader/>
        </w:trPr>
        <w:tc>
          <w:tcPr>
            <w:tcW w:w="8893" w:type="dxa"/>
            <w:gridSpan w:val="4"/>
            <w:shd w:val="clear" w:color="auto" w:fill="33CCCC"/>
            <w:noWrap/>
            <w:vAlign w:val="center"/>
            <w:hideMark/>
          </w:tcPr>
          <w:p w:rsidR="000D3657" w:rsidRPr="00CD728B" w:rsidRDefault="000D3657" w:rsidP="002E7D47">
            <w:pPr>
              <w:spacing w:before="100" w:beforeAutospacing="1" w:after="100" w:afterAutospacing="1" w:line="360" w:lineRule="auto"/>
              <w:contextualSpacing/>
              <w:jc w:val="center"/>
              <w:rPr>
                <w:rFonts w:ascii="Arial Narrow" w:hAnsi="Arial Narrow" w:cs="Calibri"/>
                <w:b/>
                <w:sz w:val="24"/>
                <w:szCs w:val="24"/>
              </w:rPr>
            </w:pPr>
            <w:r w:rsidRPr="00CD728B">
              <w:rPr>
                <w:rFonts w:ascii="Arial Narrow" w:eastAsia="Times New Roman" w:hAnsi="Arial Narrow" w:cs="Calibri"/>
                <w:b/>
                <w:bCs/>
                <w:sz w:val="24"/>
                <w:szCs w:val="24"/>
                <w:lang w:val="es-MX" w:eastAsia="es-ES_tradnl"/>
              </w:rPr>
              <w:t>Resultados de la Evaluación Vinculante 2019, respecto del ejercicio 2018</w:t>
            </w:r>
          </w:p>
        </w:tc>
      </w:tr>
      <w:tr w:rsidR="001E0121" w:rsidRPr="00CD728B" w:rsidTr="008D44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0"/>
          <w:tblHeader/>
        </w:trPr>
        <w:tc>
          <w:tcPr>
            <w:tcW w:w="6024" w:type="dxa"/>
            <w:tcBorders>
              <w:top w:val="single" w:sz="4" w:space="0" w:color="auto"/>
              <w:left w:val="single" w:sz="4" w:space="0" w:color="auto"/>
              <w:bottom w:val="single" w:sz="4" w:space="0" w:color="auto"/>
              <w:right w:val="single" w:sz="4" w:space="0" w:color="auto"/>
            </w:tcBorders>
            <w:shd w:val="clear" w:color="auto" w:fill="33CCCC"/>
            <w:noWrap/>
            <w:vAlign w:val="center"/>
            <w:hideMark/>
          </w:tcPr>
          <w:p w:rsidR="000D3657" w:rsidRPr="00CD728B" w:rsidRDefault="003C3757" w:rsidP="002E7D47">
            <w:pPr>
              <w:spacing w:before="100" w:beforeAutospacing="1" w:after="100" w:afterAutospacing="1" w:line="360" w:lineRule="auto"/>
              <w:contextualSpacing/>
              <w:jc w:val="both"/>
              <w:rPr>
                <w:rFonts w:ascii="Arial Narrow" w:hAnsi="Arial Narrow" w:cs="Arial"/>
                <w:b/>
                <w:sz w:val="24"/>
                <w:szCs w:val="24"/>
              </w:rPr>
            </w:pPr>
            <w:r w:rsidRPr="00CD728B">
              <w:rPr>
                <w:rFonts w:ascii="Arial Narrow" w:hAnsi="Arial Narrow" w:cs="Arial"/>
                <w:b/>
                <w:sz w:val="24"/>
                <w:szCs w:val="24"/>
              </w:rPr>
              <w:t>Sujetos Obligados</w:t>
            </w:r>
          </w:p>
        </w:tc>
        <w:tc>
          <w:tcPr>
            <w:tcW w:w="709" w:type="dxa"/>
            <w:tcBorders>
              <w:top w:val="single" w:sz="4" w:space="0" w:color="auto"/>
              <w:left w:val="nil"/>
              <w:bottom w:val="single" w:sz="4" w:space="0" w:color="auto"/>
              <w:right w:val="single" w:sz="4" w:space="0" w:color="auto"/>
            </w:tcBorders>
            <w:shd w:val="clear" w:color="auto" w:fill="33CCCC"/>
            <w:noWrap/>
            <w:vAlign w:val="center"/>
            <w:hideMark/>
          </w:tcPr>
          <w:p w:rsidR="000D3657" w:rsidRPr="00CD728B" w:rsidRDefault="000D3657" w:rsidP="008D44C3">
            <w:pPr>
              <w:spacing w:before="100" w:beforeAutospacing="1" w:after="100" w:afterAutospacing="1" w:line="360" w:lineRule="auto"/>
              <w:contextualSpacing/>
              <w:jc w:val="center"/>
              <w:rPr>
                <w:rFonts w:ascii="Arial Narrow" w:hAnsi="Arial Narrow" w:cs="Arial"/>
                <w:b/>
                <w:sz w:val="24"/>
                <w:szCs w:val="24"/>
              </w:rPr>
            </w:pPr>
            <w:r w:rsidRPr="00CD728B">
              <w:rPr>
                <w:rFonts w:ascii="Arial Narrow" w:hAnsi="Arial Narrow" w:cs="Arial"/>
                <w:b/>
                <w:sz w:val="24"/>
                <w:szCs w:val="24"/>
              </w:rPr>
              <w:t>IGOT</w:t>
            </w:r>
          </w:p>
        </w:tc>
        <w:tc>
          <w:tcPr>
            <w:tcW w:w="959" w:type="dxa"/>
            <w:tcBorders>
              <w:top w:val="single" w:sz="4" w:space="0" w:color="auto"/>
              <w:left w:val="nil"/>
              <w:bottom w:val="single" w:sz="4" w:space="0" w:color="auto"/>
              <w:right w:val="single" w:sz="4" w:space="0" w:color="auto"/>
            </w:tcBorders>
            <w:shd w:val="clear" w:color="auto" w:fill="33CCCC"/>
            <w:noWrap/>
            <w:vAlign w:val="center"/>
            <w:hideMark/>
          </w:tcPr>
          <w:p w:rsidR="000D3657" w:rsidRPr="00CD728B" w:rsidRDefault="00623A69" w:rsidP="008D44C3">
            <w:pPr>
              <w:spacing w:before="100" w:beforeAutospacing="1" w:after="100" w:afterAutospacing="1" w:line="360" w:lineRule="auto"/>
              <w:contextualSpacing/>
              <w:jc w:val="center"/>
              <w:rPr>
                <w:rFonts w:ascii="Arial Narrow" w:hAnsi="Arial Narrow" w:cs="Arial"/>
                <w:b/>
                <w:sz w:val="24"/>
                <w:szCs w:val="24"/>
              </w:rPr>
            </w:pPr>
            <w:r>
              <w:rPr>
                <w:rFonts w:ascii="Arial Narrow" w:hAnsi="Arial Narrow" w:cs="Arial"/>
                <w:b/>
                <w:sz w:val="24"/>
                <w:szCs w:val="24"/>
              </w:rPr>
              <w:t>ICOT-PT</w:t>
            </w:r>
          </w:p>
        </w:tc>
        <w:tc>
          <w:tcPr>
            <w:tcW w:w="1201" w:type="dxa"/>
            <w:tcBorders>
              <w:top w:val="single" w:sz="4" w:space="0" w:color="auto"/>
              <w:left w:val="nil"/>
              <w:bottom w:val="single" w:sz="4" w:space="0" w:color="auto"/>
              <w:right w:val="single" w:sz="4" w:space="0" w:color="auto"/>
            </w:tcBorders>
            <w:shd w:val="clear" w:color="auto" w:fill="33CCCC"/>
            <w:noWrap/>
            <w:vAlign w:val="center"/>
            <w:hideMark/>
          </w:tcPr>
          <w:p w:rsidR="000D3657" w:rsidRPr="00CD728B" w:rsidRDefault="000D3657" w:rsidP="008D44C3">
            <w:pPr>
              <w:spacing w:before="100" w:beforeAutospacing="1" w:after="100" w:afterAutospacing="1" w:line="360" w:lineRule="auto"/>
              <w:contextualSpacing/>
              <w:jc w:val="center"/>
              <w:rPr>
                <w:rFonts w:ascii="Arial Narrow" w:hAnsi="Arial Narrow" w:cs="Arial"/>
                <w:b/>
                <w:sz w:val="24"/>
                <w:szCs w:val="24"/>
              </w:rPr>
            </w:pPr>
            <w:r w:rsidRPr="00CD728B">
              <w:rPr>
                <w:rFonts w:ascii="Arial Narrow" w:hAnsi="Arial Narrow" w:cs="Arial"/>
                <w:b/>
                <w:sz w:val="24"/>
                <w:szCs w:val="24"/>
              </w:rPr>
              <w:t>ICOT-PNT</w:t>
            </w:r>
          </w:p>
        </w:tc>
      </w:tr>
      <w:tr w:rsidR="000D3657" w:rsidRPr="00CD728B" w:rsidTr="006C72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0"/>
        </w:trPr>
        <w:tc>
          <w:tcPr>
            <w:tcW w:w="6024" w:type="dxa"/>
            <w:tcBorders>
              <w:top w:val="nil"/>
              <w:left w:val="single" w:sz="4" w:space="0" w:color="auto"/>
              <w:bottom w:val="single" w:sz="4" w:space="0" w:color="auto"/>
              <w:right w:val="single" w:sz="4" w:space="0" w:color="auto"/>
            </w:tcBorders>
            <w:shd w:val="clear" w:color="auto" w:fill="auto"/>
            <w:noWrap/>
            <w:vAlign w:val="bottom"/>
            <w:hideMark/>
          </w:tcPr>
          <w:p w:rsidR="000D3657" w:rsidRPr="00CD728B" w:rsidRDefault="000D3657"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Sindicato Único de Trabajadores del Gobierno de la Ciudad de México</w:t>
            </w:r>
          </w:p>
        </w:tc>
        <w:tc>
          <w:tcPr>
            <w:tcW w:w="709" w:type="dxa"/>
            <w:tcBorders>
              <w:top w:val="nil"/>
              <w:left w:val="nil"/>
              <w:bottom w:val="single" w:sz="4" w:space="0" w:color="auto"/>
              <w:right w:val="single" w:sz="4" w:space="0" w:color="auto"/>
            </w:tcBorders>
            <w:shd w:val="clear" w:color="auto" w:fill="C9C9C9" w:themeFill="accent3" w:themeFillTint="99"/>
            <w:noWrap/>
            <w:vAlign w:val="bottom"/>
            <w:hideMark/>
          </w:tcPr>
          <w:p w:rsidR="000D3657" w:rsidRPr="00CD728B" w:rsidRDefault="000D3657" w:rsidP="008D44C3">
            <w:pPr>
              <w:spacing w:before="100" w:beforeAutospacing="1" w:after="100" w:afterAutospacing="1" w:line="360" w:lineRule="auto"/>
              <w:contextualSpacing/>
              <w:jc w:val="center"/>
              <w:rPr>
                <w:rFonts w:ascii="Arial Narrow" w:hAnsi="Arial Narrow" w:cs="Arial"/>
                <w:sz w:val="24"/>
                <w:szCs w:val="24"/>
              </w:rPr>
            </w:pPr>
            <w:r w:rsidRPr="00CD728B">
              <w:rPr>
                <w:rFonts w:ascii="Arial Narrow" w:hAnsi="Arial Narrow" w:cs="Arial"/>
                <w:sz w:val="24"/>
                <w:szCs w:val="24"/>
              </w:rPr>
              <w:t>99.18</w:t>
            </w:r>
          </w:p>
        </w:tc>
        <w:tc>
          <w:tcPr>
            <w:tcW w:w="959" w:type="dxa"/>
            <w:tcBorders>
              <w:top w:val="nil"/>
              <w:left w:val="nil"/>
              <w:bottom w:val="single" w:sz="4" w:space="0" w:color="auto"/>
              <w:right w:val="single" w:sz="4" w:space="0" w:color="auto"/>
            </w:tcBorders>
            <w:shd w:val="clear" w:color="000000" w:fill="FFFFFF"/>
            <w:noWrap/>
            <w:vAlign w:val="bottom"/>
            <w:hideMark/>
          </w:tcPr>
          <w:p w:rsidR="000D3657" w:rsidRPr="00CD728B" w:rsidRDefault="000D3657" w:rsidP="008D44C3">
            <w:pPr>
              <w:spacing w:before="100" w:beforeAutospacing="1" w:after="100" w:afterAutospacing="1" w:line="360" w:lineRule="auto"/>
              <w:contextualSpacing/>
              <w:jc w:val="center"/>
              <w:rPr>
                <w:rFonts w:ascii="Arial Narrow" w:hAnsi="Arial Narrow" w:cs="Arial"/>
                <w:sz w:val="24"/>
                <w:szCs w:val="24"/>
              </w:rPr>
            </w:pPr>
            <w:r w:rsidRPr="00CD728B">
              <w:rPr>
                <w:rFonts w:ascii="Arial Narrow" w:hAnsi="Arial Narrow" w:cs="Arial"/>
                <w:sz w:val="24"/>
                <w:szCs w:val="24"/>
              </w:rPr>
              <w:t>98.39</w:t>
            </w:r>
          </w:p>
        </w:tc>
        <w:tc>
          <w:tcPr>
            <w:tcW w:w="1201" w:type="dxa"/>
            <w:tcBorders>
              <w:top w:val="nil"/>
              <w:left w:val="nil"/>
              <w:bottom w:val="single" w:sz="4" w:space="0" w:color="auto"/>
              <w:right w:val="single" w:sz="4" w:space="0" w:color="auto"/>
            </w:tcBorders>
            <w:shd w:val="clear" w:color="000000" w:fill="FFFFFF"/>
            <w:noWrap/>
            <w:vAlign w:val="bottom"/>
            <w:hideMark/>
          </w:tcPr>
          <w:p w:rsidR="000D3657" w:rsidRPr="00CD728B" w:rsidRDefault="000D3657" w:rsidP="008D44C3">
            <w:pPr>
              <w:spacing w:before="100" w:beforeAutospacing="1" w:after="100" w:afterAutospacing="1" w:line="360" w:lineRule="auto"/>
              <w:contextualSpacing/>
              <w:jc w:val="center"/>
              <w:rPr>
                <w:rFonts w:ascii="Arial Narrow" w:hAnsi="Arial Narrow" w:cs="Arial"/>
                <w:sz w:val="24"/>
                <w:szCs w:val="24"/>
              </w:rPr>
            </w:pPr>
            <w:r w:rsidRPr="00CD728B">
              <w:rPr>
                <w:rFonts w:ascii="Arial Narrow" w:hAnsi="Arial Narrow" w:cs="Arial"/>
                <w:sz w:val="24"/>
                <w:szCs w:val="24"/>
              </w:rPr>
              <w:t>99.98</w:t>
            </w:r>
          </w:p>
        </w:tc>
      </w:tr>
      <w:tr w:rsidR="000D3657" w:rsidRPr="00CD728B" w:rsidTr="006C72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0"/>
        </w:trPr>
        <w:tc>
          <w:tcPr>
            <w:tcW w:w="6024" w:type="dxa"/>
            <w:tcBorders>
              <w:top w:val="nil"/>
              <w:left w:val="single" w:sz="4" w:space="0" w:color="auto"/>
              <w:bottom w:val="single" w:sz="4" w:space="0" w:color="auto"/>
              <w:right w:val="single" w:sz="4" w:space="0" w:color="auto"/>
            </w:tcBorders>
            <w:shd w:val="clear" w:color="auto" w:fill="auto"/>
            <w:noWrap/>
            <w:vAlign w:val="bottom"/>
            <w:hideMark/>
          </w:tcPr>
          <w:p w:rsidR="000D3657" w:rsidRPr="00CD728B" w:rsidRDefault="000D3657"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Sindicato de Trabajadores del Poder Judicial del Distrito Federal</w:t>
            </w:r>
          </w:p>
        </w:tc>
        <w:tc>
          <w:tcPr>
            <w:tcW w:w="709" w:type="dxa"/>
            <w:tcBorders>
              <w:top w:val="nil"/>
              <w:left w:val="nil"/>
              <w:bottom w:val="single" w:sz="4" w:space="0" w:color="auto"/>
              <w:right w:val="single" w:sz="4" w:space="0" w:color="auto"/>
            </w:tcBorders>
            <w:shd w:val="clear" w:color="auto" w:fill="C9C9C9" w:themeFill="accent3" w:themeFillTint="99"/>
            <w:noWrap/>
            <w:vAlign w:val="bottom"/>
            <w:hideMark/>
          </w:tcPr>
          <w:p w:rsidR="000D3657" w:rsidRPr="00CD728B" w:rsidRDefault="000D3657" w:rsidP="008D44C3">
            <w:pPr>
              <w:spacing w:before="100" w:beforeAutospacing="1" w:after="100" w:afterAutospacing="1" w:line="360" w:lineRule="auto"/>
              <w:contextualSpacing/>
              <w:jc w:val="center"/>
              <w:rPr>
                <w:rFonts w:ascii="Arial Narrow" w:hAnsi="Arial Narrow" w:cs="Arial"/>
                <w:sz w:val="24"/>
                <w:szCs w:val="24"/>
              </w:rPr>
            </w:pPr>
            <w:r w:rsidRPr="00CD728B">
              <w:rPr>
                <w:rFonts w:ascii="Arial Narrow" w:hAnsi="Arial Narrow" w:cs="Arial"/>
                <w:sz w:val="24"/>
                <w:szCs w:val="24"/>
              </w:rPr>
              <w:t>90.71</w:t>
            </w:r>
          </w:p>
        </w:tc>
        <w:tc>
          <w:tcPr>
            <w:tcW w:w="959" w:type="dxa"/>
            <w:tcBorders>
              <w:top w:val="nil"/>
              <w:left w:val="nil"/>
              <w:bottom w:val="single" w:sz="4" w:space="0" w:color="auto"/>
              <w:right w:val="single" w:sz="4" w:space="0" w:color="auto"/>
            </w:tcBorders>
            <w:shd w:val="clear" w:color="000000" w:fill="FFFFFF"/>
            <w:noWrap/>
            <w:vAlign w:val="bottom"/>
            <w:hideMark/>
          </w:tcPr>
          <w:p w:rsidR="000D3657" w:rsidRPr="00CD728B" w:rsidRDefault="000D3657" w:rsidP="008D44C3">
            <w:pPr>
              <w:spacing w:before="100" w:beforeAutospacing="1" w:after="100" w:afterAutospacing="1" w:line="360" w:lineRule="auto"/>
              <w:contextualSpacing/>
              <w:jc w:val="center"/>
              <w:rPr>
                <w:rFonts w:ascii="Arial Narrow" w:hAnsi="Arial Narrow" w:cs="Arial"/>
                <w:sz w:val="24"/>
                <w:szCs w:val="24"/>
              </w:rPr>
            </w:pPr>
            <w:r w:rsidRPr="00CD728B">
              <w:rPr>
                <w:rFonts w:ascii="Arial Narrow" w:hAnsi="Arial Narrow" w:cs="Arial"/>
                <w:sz w:val="24"/>
                <w:szCs w:val="24"/>
              </w:rPr>
              <w:t>87.70</w:t>
            </w:r>
          </w:p>
        </w:tc>
        <w:tc>
          <w:tcPr>
            <w:tcW w:w="1201" w:type="dxa"/>
            <w:tcBorders>
              <w:top w:val="nil"/>
              <w:left w:val="nil"/>
              <w:bottom w:val="single" w:sz="4" w:space="0" w:color="auto"/>
              <w:right w:val="single" w:sz="4" w:space="0" w:color="auto"/>
            </w:tcBorders>
            <w:shd w:val="clear" w:color="000000" w:fill="FFFFFF"/>
            <w:noWrap/>
            <w:vAlign w:val="bottom"/>
            <w:hideMark/>
          </w:tcPr>
          <w:p w:rsidR="000D3657" w:rsidRPr="00CD728B" w:rsidRDefault="000D3657" w:rsidP="008D44C3">
            <w:pPr>
              <w:spacing w:before="100" w:beforeAutospacing="1" w:after="100" w:afterAutospacing="1" w:line="360" w:lineRule="auto"/>
              <w:contextualSpacing/>
              <w:jc w:val="center"/>
              <w:rPr>
                <w:rFonts w:ascii="Arial Narrow" w:hAnsi="Arial Narrow" w:cs="Arial"/>
                <w:sz w:val="24"/>
                <w:szCs w:val="24"/>
              </w:rPr>
            </w:pPr>
            <w:r w:rsidRPr="00CD728B">
              <w:rPr>
                <w:rFonts w:ascii="Arial Narrow" w:hAnsi="Arial Narrow" w:cs="Arial"/>
                <w:sz w:val="24"/>
                <w:szCs w:val="24"/>
              </w:rPr>
              <w:t>93.71</w:t>
            </w:r>
          </w:p>
        </w:tc>
      </w:tr>
      <w:tr w:rsidR="000D3657" w:rsidRPr="00CD728B" w:rsidTr="006C72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0"/>
        </w:trPr>
        <w:tc>
          <w:tcPr>
            <w:tcW w:w="6024" w:type="dxa"/>
            <w:tcBorders>
              <w:top w:val="nil"/>
              <w:left w:val="single" w:sz="4" w:space="0" w:color="auto"/>
              <w:bottom w:val="single" w:sz="4" w:space="0" w:color="auto"/>
              <w:right w:val="single" w:sz="4" w:space="0" w:color="auto"/>
            </w:tcBorders>
            <w:shd w:val="clear" w:color="auto" w:fill="auto"/>
            <w:noWrap/>
            <w:vAlign w:val="bottom"/>
            <w:hideMark/>
          </w:tcPr>
          <w:p w:rsidR="000D3657" w:rsidRPr="00CD728B" w:rsidRDefault="000D3657"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Sindicato Nacional de Trabajadores del Sistema de Transporte Colectivo</w:t>
            </w:r>
          </w:p>
        </w:tc>
        <w:tc>
          <w:tcPr>
            <w:tcW w:w="709" w:type="dxa"/>
            <w:tcBorders>
              <w:top w:val="nil"/>
              <w:left w:val="nil"/>
              <w:bottom w:val="single" w:sz="4" w:space="0" w:color="auto"/>
              <w:right w:val="single" w:sz="4" w:space="0" w:color="auto"/>
            </w:tcBorders>
            <w:shd w:val="clear" w:color="auto" w:fill="C9C9C9" w:themeFill="accent3" w:themeFillTint="99"/>
            <w:noWrap/>
            <w:vAlign w:val="bottom"/>
            <w:hideMark/>
          </w:tcPr>
          <w:p w:rsidR="000D3657" w:rsidRPr="00CD728B" w:rsidRDefault="000D3657" w:rsidP="008D44C3">
            <w:pPr>
              <w:spacing w:before="100" w:beforeAutospacing="1" w:after="100" w:afterAutospacing="1" w:line="360" w:lineRule="auto"/>
              <w:contextualSpacing/>
              <w:jc w:val="center"/>
              <w:rPr>
                <w:rFonts w:ascii="Arial Narrow" w:hAnsi="Arial Narrow" w:cs="Arial"/>
                <w:sz w:val="24"/>
                <w:szCs w:val="24"/>
              </w:rPr>
            </w:pPr>
            <w:r w:rsidRPr="00CD728B">
              <w:rPr>
                <w:rFonts w:ascii="Arial Narrow" w:hAnsi="Arial Narrow" w:cs="Arial"/>
                <w:sz w:val="24"/>
                <w:szCs w:val="24"/>
              </w:rPr>
              <w:t>84.55</w:t>
            </w:r>
          </w:p>
        </w:tc>
        <w:tc>
          <w:tcPr>
            <w:tcW w:w="959" w:type="dxa"/>
            <w:tcBorders>
              <w:top w:val="nil"/>
              <w:left w:val="nil"/>
              <w:bottom w:val="single" w:sz="4" w:space="0" w:color="auto"/>
              <w:right w:val="single" w:sz="4" w:space="0" w:color="auto"/>
            </w:tcBorders>
            <w:shd w:val="clear" w:color="000000" w:fill="FFFFFF"/>
            <w:noWrap/>
            <w:vAlign w:val="bottom"/>
            <w:hideMark/>
          </w:tcPr>
          <w:p w:rsidR="000D3657" w:rsidRPr="00CD728B" w:rsidRDefault="000D3657" w:rsidP="008D44C3">
            <w:pPr>
              <w:spacing w:before="100" w:beforeAutospacing="1" w:after="100" w:afterAutospacing="1" w:line="360" w:lineRule="auto"/>
              <w:contextualSpacing/>
              <w:jc w:val="center"/>
              <w:rPr>
                <w:rFonts w:ascii="Arial Narrow" w:hAnsi="Arial Narrow" w:cs="Arial"/>
                <w:sz w:val="24"/>
                <w:szCs w:val="24"/>
              </w:rPr>
            </w:pPr>
            <w:r w:rsidRPr="00CD728B">
              <w:rPr>
                <w:rFonts w:ascii="Arial Narrow" w:hAnsi="Arial Narrow" w:cs="Arial"/>
                <w:sz w:val="24"/>
                <w:szCs w:val="24"/>
              </w:rPr>
              <w:t>79.27</w:t>
            </w:r>
          </w:p>
        </w:tc>
        <w:tc>
          <w:tcPr>
            <w:tcW w:w="1201" w:type="dxa"/>
            <w:tcBorders>
              <w:top w:val="nil"/>
              <w:left w:val="nil"/>
              <w:bottom w:val="single" w:sz="4" w:space="0" w:color="auto"/>
              <w:right w:val="single" w:sz="4" w:space="0" w:color="auto"/>
            </w:tcBorders>
            <w:shd w:val="clear" w:color="000000" w:fill="FFFFFF"/>
            <w:noWrap/>
            <w:vAlign w:val="bottom"/>
            <w:hideMark/>
          </w:tcPr>
          <w:p w:rsidR="000D3657" w:rsidRPr="00CD728B" w:rsidRDefault="000D3657" w:rsidP="008D44C3">
            <w:pPr>
              <w:spacing w:before="100" w:beforeAutospacing="1" w:after="100" w:afterAutospacing="1" w:line="360" w:lineRule="auto"/>
              <w:contextualSpacing/>
              <w:jc w:val="center"/>
              <w:rPr>
                <w:rFonts w:ascii="Arial Narrow" w:hAnsi="Arial Narrow" w:cs="Arial"/>
                <w:sz w:val="24"/>
                <w:szCs w:val="24"/>
              </w:rPr>
            </w:pPr>
            <w:r w:rsidRPr="00CD728B">
              <w:rPr>
                <w:rFonts w:ascii="Arial Narrow" w:hAnsi="Arial Narrow" w:cs="Arial"/>
                <w:sz w:val="24"/>
                <w:szCs w:val="24"/>
              </w:rPr>
              <w:t>89.83</w:t>
            </w:r>
          </w:p>
        </w:tc>
      </w:tr>
      <w:tr w:rsidR="000D3657" w:rsidRPr="00CD728B" w:rsidTr="006C72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0"/>
        </w:trPr>
        <w:tc>
          <w:tcPr>
            <w:tcW w:w="6024" w:type="dxa"/>
            <w:tcBorders>
              <w:top w:val="nil"/>
              <w:left w:val="single" w:sz="4" w:space="0" w:color="auto"/>
              <w:bottom w:val="single" w:sz="4" w:space="0" w:color="auto"/>
              <w:right w:val="single" w:sz="4" w:space="0" w:color="auto"/>
            </w:tcBorders>
            <w:shd w:val="clear" w:color="auto" w:fill="auto"/>
            <w:noWrap/>
            <w:vAlign w:val="bottom"/>
            <w:hideMark/>
          </w:tcPr>
          <w:p w:rsidR="000D3657" w:rsidRPr="00CD728B" w:rsidRDefault="000D3657"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Sindicato Independiente de Trabajadores del Instituto de Educación Media Superior del Distrito Federal</w:t>
            </w:r>
          </w:p>
        </w:tc>
        <w:tc>
          <w:tcPr>
            <w:tcW w:w="709" w:type="dxa"/>
            <w:tcBorders>
              <w:top w:val="nil"/>
              <w:left w:val="nil"/>
              <w:bottom w:val="single" w:sz="4" w:space="0" w:color="auto"/>
              <w:right w:val="single" w:sz="4" w:space="0" w:color="auto"/>
            </w:tcBorders>
            <w:shd w:val="clear" w:color="auto" w:fill="C9C9C9" w:themeFill="accent3" w:themeFillTint="99"/>
            <w:noWrap/>
            <w:vAlign w:val="bottom"/>
            <w:hideMark/>
          </w:tcPr>
          <w:p w:rsidR="000D3657" w:rsidRPr="00CD728B" w:rsidRDefault="000D3657" w:rsidP="008D44C3">
            <w:pPr>
              <w:spacing w:before="100" w:beforeAutospacing="1" w:after="100" w:afterAutospacing="1" w:line="360" w:lineRule="auto"/>
              <w:contextualSpacing/>
              <w:jc w:val="center"/>
              <w:rPr>
                <w:rFonts w:ascii="Arial Narrow" w:hAnsi="Arial Narrow" w:cs="Arial"/>
                <w:sz w:val="24"/>
                <w:szCs w:val="24"/>
              </w:rPr>
            </w:pPr>
            <w:r w:rsidRPr="00CD728B">
              <w:rPr>
                <w:rFonts w:ascii="Arial Narrow" w:hAnsi="Arial Narrow" w:cs="Arial"/>
                <w:sz w:val="24"/>
                <w:szCs w:val="24"/>
              </w:rPr>
              <w:t>58.69</w:t>
            </w:r>
          </w:p>
        </w:tc>
        <w:tc>
          <w:tcPr>
            <w:tcW w:w="959" w:type="dxa"/>
            <w:tcBorders>
              <w:top w:val="nil"/>
              <w:left w:val="nil"/>
              <w:bottom w:val="single" w:sz="4" w:space="0" w:color="auto"/>
              <w:right w:val="single" w:sz="4" w:space="0" w:color="auto"/>
            </w:tcBorders>
            <w:shd w:val="clear" w:color="000000" w:fill="FFFFFF"/>
            <w:noWrap/>
            <w:vAlign w:val="bottom"/>
            <w:hideMark/>
          </w:tcPr>
          <w:p w:rsidR="000D3657" w:rsidRPr="00CD728B" w:rsidRDefault="000D3657" w:rsidP="008D44C3">
            <w:pPr>
              <w:spacing w:before="100" w:beforeAutospacing="1" w:after="100" w:afterAutospacing="1" w:line="360" w:lineRule="auto"/>
              <w:contextualSpacing/>
              <w:jc w:val="center"/>
              <w:rPr>
                <w:rFonts w:ascii="Arial Narrow" w:hAnsi="Arial Narrow" w:cs="Arial"/>
                <w:sz w:val="24"/>
                <w:szCs w:val="24"/>
              </w:rPr>
            </w:pPr>
            <w:r w:rsidRPr="00CD728B">
              <w:rPr>
                <w:rFonts w:ascii="Arial Narrow" w:hAnsi="Arial Narrow" w:cs="Arial"/>
                <w:sz w:val="24"/>
                <w:szCs w:val="24"/>
              </w:rPr>
              <w:t>55.91</w:t>
            </w:r>
          </w:p>
        </w:tc>
        <w:tc>
          <w:tcPr>
            <w:tcW w:w="1201" w:type="dxa"/>
            <w:tcBorders>
              <w:top w:val="nil"/>
              <w:left w:val="nil"/>
              <w:bottom w:val="single" w:sz="4" w:space="0" w:color="auto"/>
              <w:right w:val="single" w:sz="4" w:space="0" w:color="auto"/>
            </w:tcBorders>
            <w:shd w:val="clear" w:color="000000" w:fill="FFFFFF"/>
            <w:noWrap/>
            <w:vAlign w:val="bottom"/>
            <w:hideMark/>
          </w:tcPr>
          <w:p w:rsidR="000D3657" w:rsidRPr="00CD728B" w:rsidRDefault="000D3657" w:rsidP="008D44C3">
            <w:pPr>
              <w:spacing w:before="100" w:beforeAutospacing="1" w:after="100" w:afterAutospacing="1" w:line="360" w:lineRule="auto"/>
              <w:contextualSpacing/>
              <w:jc w:val="center"/>
              <w:rPr>
                <w:rFonts w:ascii="Arial Narrow" w:hAnsi="Arial Narrow" w:cs="Arial"/>
                <w:sz w:val="24"/>
                <w:szCs w:val="24"/>
              </w:rPr>
            </w:pPr>
            <w:r w:rsidRPr="00CD728B">
              <w:rPr>
                <w:rFonts w:ascii="Arial Narrow" w:hAnsi="Arial Narrow" w:cs="Arial"/>
                <w:sz w:val="24"/>
                <w:szCs w:val="24"/>
              </w:rPr>
              <w:t>61.47</w:t>
            </w:r>
          </w:p>
        </w:tc>
      </w:tr>
      <w:tr w:rsidR="000D3657" w:rsidRPr="00CD728B" w:rsidTr="006C72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0"/>
        </w:trPr>
        <w:tc>
          <w:tcPr>
            <w:tcW w:w="6024" w:type="dxa"/>
            <w:tcBorders>
              <w:top w:val="nil"/>
              <w:left w:val="single" w:sz="4" w:space="0" w:color="auto"/>
              <w:bottom w:val="single" w:sz="4" w:space="0" w:color="auto"/>
              <w:right w:val="single" w:sz="4" w:space="0" w:color="auto"/>
            </w:tcBorders>
            <w:shd w:val="clear" w:color="auto" w:fill="auto"/>
            <w:noWrap/>
            <w:vAlign w:val="bottom"/>
            <w:hideMark/>
          </w:tcPr>
          <w:p w:rsidR="000D3657" w:rsidRPr="00CD728B" w:rsidRDefault="000D3657"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Sindicato Democrático Independiente de Trabajadores del Sistema de Transporte Colectivo</w:t>
            </w:r>
          </w:p>
        </w:tc>
        <w:tc>
          <w:tcPr>
            <w:tcW w:w="709" w:type="dxa"/>
            <w:tcBorders>
              <w:top w:val="nil"/>
              <w:left w:val="nil"/>
              <w:bottom w:val="single" w:sz="4" w:space="0" w:color="auto"/>
              <w:right w:val="single" w:sz="4" w:space="0" w:color="auto"/>
            </w:tcBorders>
            <w:shd w:val="clear" w:color="auto" w:fill="C9C9C9" w:themeFill="accent3" w:themeFillTint="99"/>
            <w:noWrap/>
            <w:vAlign w:val="bottom"/>
            <w:hideMark/>
          </w:tcPr>
          <w:p w:rsidR="000D3657" w:rsidRPr="00CD728B" w:rsidRDefault="000D3657" w:rsidP="008D44C3">
            <w:pPr>
              <w:spacing w:before="100" w:beforeAutospacing="1" w:after="100" w:afterAutospacing="1" w:line="360" w:lineRule="auto"/>
              <w:contextualSpacing/>
              <w:jc w:val="center"/>
              <w:rPr>
                <w:rFonts w:ascii="Arial Narrow" w:hAnsi="Arial Narrow" w:cs="Arial"/>
                <w:sz w:val="24"/>
                <w:szCs w:val="24"/>
              </w:rPr>
            </w:pPr>
            <w:r w:rsidRPr="00CD728B">
              <w:rPr>
                <w:rFonts w:ascii="Arial Narrow" w:hAnsi="Arial Narrow" w:cs="Arial"/>
                <w:sz w:val="24"/>
                <w:szCs w:val="24"/>
              </w:rPr>
              <w:t>45.94</w:t>
            </w:r>
          </w:p>
        </w:tc>
        <w:tc>
          <w:tcPr>
            <w:tcW w:w="959" w:type="dxa"/>
            <w:tcBorders>
              <w:top w:val="nil"/>
              <w:left w:val="nil"/>
              <w:bottom w:val="single" w:sz="4" w:space="0" w:color="auto"/>
              <w:right w:val="single" w:sz="4" w:space="0" w:color="auto"/>
            </w:tcBorders>
            <w:shd w:val="clear" w:color="000000" w:fill="FFFFFF"/>
            <w:noWrap/>
            <w:vAlign w:val="bottom"/>
            <w:hideMark/>
          </w:tcPr>
          <w:p w:rsidR="000D3657" w:rsidRPr="00CD728B" w:rsidRDefault="000D3657" w:rsidP="008D44C3">
            <w:pPr>
              <w:spacing w:before="100" w:beforeAutospacing="1" w:after="100" w:afterAutospacing="1" w:line="360" w:lineRule="auto"/>
              <w:contextualSpacing/>
              <w:jc w:val="center"/>
              <w:rPr>
                <w:rFonts w:ascii="Arial Narrow" w:hAnsi="Arial Narrow" w:cs="Arial"/>
                <w:sz w:val="24"/>
                <w:szCs w:val="24"/>
              </w:rPr>
            </w:pPr>
            <w:r w:rsidRPr="00CD728B">
              <w:rPr>
                <w:rFonts w:ascii="Arial Narrow" w:hAnsi="Arial Narrow" w:cs="Arial"/>
                <w:sz w:val="24"/>
                <w:szCs w:val="24"/>
              </w:rPr>
              <w:t>78.16</w:t>
            </w:r>
          </w:p>
        </w:tc>
        <w:tc>
          <w:tcPr>
            <w:tcW w:w="1201" w:type="dxa"/>
            <w:tcBorders>
              <w:top w:val="nil"/>
              <w:left w:val="nil"/>
              <w:bottom w:val="single" w:sz="4" w:space="0" w:color="auto"/>
              <w:right w:val="single" w:sz="4" w:space="0" w:color="auto"/>
            </w:tcBorders>
            <w:shd w:val="clear" w:color="000000" w:fill="FFFFFF"/>
            <w:noWrap/>
            <w:vAlign w:val="bottom"/>
            <w:hideMark/>
          </w:tcPr>
          <w:p w:rsidR="000D3657" w:rsidRPr="00CD728B" w:rsidRDefault="000D3657" w:rsidP="008D44C3">
            <w:pPr>
              <w:spacing w:before="100" w:beforeAutospacing="1" w:after="100" w:afterAutospacing="1" w:line="360" w:lineRule="auto"/>
              <w:contextualSpacing/>
              <w:jc w:val="center"/>
              <w:rPr>
                <w:rFonts w:ascii="Arial Narrow" w:hAnsi="Arial Narrow" w:cs="Arial"/>
                <w:sz w:val="24"/>
                <w:szCs w:val="24"/>
              </w:rPr>
            </w:pPr>
            <w:r w:rsidRPr="00CD728B">
              <w:rPr>
                <w:rFonts w:ascii="Arial Narrow" w:hAnsi="Arial Narrow" w:cs="Arial"/>
                <w:sz w:val="24"/>
                <w:szCs w:val="24"/>
              </w:rPr>
              <w:t>13.72</w:t>
            </w:r>
          </w:p>
        </w:tc>
      </w:tr>
      <w:tr w:rsidR="000D3657" w:rsidRPr="00CD728B" w:rsidTr="006C72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0"/>
        </w:trPr>
        <w:tc>
          <w:tcPr>
            <w:tcW w:w="6024" w:type="dxa"/>
            <w:tcBorders>
              <w:top w:val="nil"/>
              <w:left w:val="single" w:sz="4" w:space="0" w:color="auto"/>
              <w:bottom w:val="single" w:sz="4" w:space="0" w:color="auto"/>
              <w:right w:val="single" w:sz="4" w:space="0" w:color="auto"/>
            </w:tcBorders>
            <w:shd w:val="clear" w:color="auto" w:fill="auto"/>
            <w:noWrap/>
            <w:vAlign w:val="bottom"/>
            <w:hideMark/>
          </w:tcPr>
          <w:p w:rsidR="000D3657" w:rsidRPr="00CD728B" w:rsidRDefault="000D3657"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Sindicato de Trabajadores del Tribunal de Justicia Administrativa de la Ciudad de México</w:t>
            </w:r>
          </w:p>
        </w:tc>
        <w:tc>
          <w:tcPr>
            <w:tcW w:w="709" w:type="dxa"/>
            <w:tcBorders>
              <w:top w:val="nil"/>
              <w:left w:val="nil"/>
              <w:bottom w:val="single" w:sz="4" w:space="0" w:color="auto"/>
              <w:right w:val="single" w:sz="4" w:space="0" w:color="auto"/>
            </w:tcBorders>
            <w:shd w:val="clear" w:color="auto" w:fill="C9C9C9" w:themeFill="accent3" w:themeFillTint="99"/>
            <w:noWrap/>
            <w:vAlign w:val="bottom"/>
            <w:hideMark/>
          </w:tcPr>
          <w:p w:rsidR="000D3657" w:rsidRPr="00CD728B" w:rsidRDefault="000D3657" w:rsidP="008D44C3">
            <w:pPr>
              <w:spacing w:before="100" w:beforeAutospacing="1" w:after="100" w:afterAutospacing="1" w:line="360" w:lineRule="auto"/>
              <w:contextualSpacing/>
              <w:jc w:val="center"/>
              <w:rPr>
                <w:rFonts w:ascii="Arial Narrow" w:hAnsi="Arial Narrow" w:cs="Arial"/>
                <w:sz w:val="24"/>
                <w:szCs w:val="24"/>
              </w:rPr>
            </w:pPr>
            <w:r w:rsidRPr="00CD728B">
              <w:rPr>
                <w:rFonts w:ascii="Arial Narrow" w:hAnsi="Arial Narrow" w:cs="Arial"/>
                <w:sz w:val="24"/>
                <w:szCs w:val="24"/>
              </w:rPr>
              <w:t>29.46</w:t>
            </w:r>
          </w:p>
        </w:tc>
        <w:tc>
          <w:tcPr>
            <w:tcW w:w="959" w:type="dxa"/>
            <w:tcBorders>
              <w:top w:val="nil"/>
              <w:left w:val="nil"/>
              <w:bottom w:val="single" w:sz="4" w:space="0" w:color="auto"/>
              <w:right w:val="single" w:sz="4" w:space="0" w:color="auto"/>
            </w:tcBorders>
            <w:shd w:val="clear" w:color="000000" w:fill="FFFFFF"/>
            <w:noWrap/>
            <w:vAlign w:val="bottom"/>
            <w:hideMark/>
          </w:tcPr>
          <w:p w:rsidR="000D3657" w:rsidRPr="00CD728B" w:rsidRDefault="000D3657" w:rsidP="008D44C3">
            <w:pPr>
              <w:spacing w:before="100" w:beforeAutospacing="1" w:after="100" w:afterAutospacing="1" w:line="360" w:lineRule="auto"/>
              <w:contextualSpacing/>
              <w:jc w:val="center"/>
              <w:rPr>
                <w:rFonts w:ascii="Arial Narrow" w:hAnsi="Arial Narrow" w:cs="Arial"/>
                <w:sz w:val="24"/>
                <w:szCs w:val="24"/>
              </w:rPr>
            </w:pPr>
            <w:r w:rsidRPr="00CD728B">
              <w:rPr>
                <w:rFonts w:ascii="Arial Narrow" w:hAnsi="Arial Narrow" w:cs="Arial"/>
                <w:sz w:val="24"/>
                <w:szCs w:val="24"/>
              </w:rPr>
              <w:t>16.25</w:t>
            </w:r>
          </w:p>
        </w:tc>
        <w:tc>
          <w:tcPr>
            <w:tcW w:w="1201" w:type="dxa"/>
            <w:tcBorders>
              <w:top w:val="nil"/>
              <w:left w:val="nil"/>
              <w:bottom w:val="single" w:sz="4" w:space="0" w:color="auto"/>
              <w:right w:val="single" w:sz="4" w:space="0" w:color="auto"/>
            </w:tcBorders>
            <w:shd w:val="clear" w:color="000000" w:fill="FFFFFF"/>
            <w:noWrap/>
            <w:vAlign w:val="bottom"/>
            <w:hideMark/>
          </w:tcPr>
          <w:p w:rsidR="000D3657" w:rsidRPr="00CD728B" w:rsidRDefault="000D3657" w:rsidP="008D44C3">
            <w:pPr>
              <w:spacing w:before="100" w:beforeAutospacing="1" w:after="100" w:afterAutospacing="1" w:line="360" w:lineRule="auto"/>
              <w:contextualSpacing/>
              <w:jc w:val="center"/>
              <w:rPr>
                <w:rFonts w:ascii="Arial Narrow" w:hAnsi="Arial Narrow" w:cs="Arial"/>
                <w:sz w:val="24"/>
                <w:szCs w:val="24"/>
              </w:rPr>
            </w:pPr>
            <w:r w:rsidRPr="00CD728B">
              <w:rPr>
                <w:rFonts w:ascii="Arial Narrow" w:hAnsi="Arial Narrow" w:cs="Arial"/>
                <w:sz w:val="24"/>
                <w:szCs w:val="24"/>
              </w:rPr>
              <w:t>42.67</w:t>
            </w:r>
          </w:p>
        </w:tc>
      </w:tr>
      <w:tr w:rsidR="000D3657" w:rsidRPr="00CD728B" w:rsidTr="006C72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0"/>
        </w:trPr>
        <w:tc>
          <w:tcPr>
            <w:tcW w:w="6024" w:type="dxa"/>
            <w:tcBorders>
              <w:top w:val="nil"/>
              <w:left w:val="single" w:sz="4" w:space="0" w:color="auto"/>
              <w:bottom w:val="single" w:sz="4" w:space="0" w:color="auto"/>
              <w:right w:val="single" w:sz="4" w:space="0" w:color="auto"/>
            </w:tcBorders>
            <w:shd w:val="clear" w:color="auto" w:fill="auto"/>
            <w:noWrap/>
            <w:vAlign w:val="bottom"/>
            <w:hideMark/>
          </w:tcPr>
          <w:p w:rsidR="000D3657" w:rsidRPr="00CD728B" w:rsidRDefault="000D3657"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Alianza de Tranviarios de México</w:t>
            </w:r>
          </w:p>
        </w:tc>
        <w:tc>
          <w:tcPr>
            <w:tcW w:w="709" w:type="dxa"/>
            <w:tcBorders>
              <w:top w:val="nil"/>
              <w:left w:val="nil"/>
              <w:bottom w:val="single" w:sz="4" w:space="0" w:color="auto"/>
              <w:right w:val="single" w:sz="4" w:space="0" w:color="auto"/>
            </w:tcBorders>
            <w:shd w:val="clear" w:color="auto" w:fill="C9C9C9" w:themeFill="accent3" w:themeFillTint="99"/>
            <w:noWrap/>
            <w:vAlign w:val="bottom"/>
            <w:hideMark/>
          </w:tcPr>
          <w:p w:rsidR="000D3657" w:rsidRPr="00CD728B" w:rsidRDefault="000D3657" w:rsidP="008D44C3">
            <w:pPr>
              <w:spacing w:before="100" w:beforeAutospacing="1" w:after="100" w:afterAutospacing="1" w:line="360" w:lineRule="auto"/>
              <w:contextualSpacing/>
              <w:jc w:val="center"/>
              <w:rPr>
                <w:rFonts w:ascii="Arial Narrow" w:hAnsi="Arial Narrow" w:cs="Arial"/>
                <w:sz w:val="24"/>
                <w:szCs w:val="24"/>
              </w:rPr>
            </w:pPr>
            <w:r w:rsidRPr="00CD728B">
              <w:rPr>
                <w:rFonts w:ascii="Arial Narrow" w:hAnsi="Arial Narrow" w:cs="Arial"/>
                <w:sz w:val="24"/>
                <w:szCs w:val="24"/>
              </w:rPr>
              <w:t>7.50</w:t>
            </w:r>
          </w:p>
        </w:tc>
        <w:tc>
          <w:tcPr>
            <w:tcW w:w="959" w:type="dxa"/>
            <w:tcBorders>
              <w:top w:val="nil"/>
              <w:left w:val="nil"/>
              <w:bottom w:val="single" w:sz="4" w:space="0" w:color="auto"/>
              <w:right w:val="single" w:sz="4" w:space="0" w:color="auto"/>
            </w:tcBorders>
            <w:shd w:val="clear" w:color="000000" w:fill="FFFFFF"/>
            <w:noWrap/>
            <w:vAlign w:val="bottom"/>
            <w:hideMark/>
          </w:tcPr>
          <w:p w:rsidR="000D3657" w:rsidRPr="00CD728B" w:rsidRDefault="000D3657" w:rsidP="008D44C3">
            <w:pPr>
              <w:spacing w:before="100" w:beforeAutospacing="1" w:after="100" w:afterAutospacing="1" w:line="360" w:lineRule="auto"/>
              <w:contextualSpacing/>
              <w:jc w:val="center"/>
              <w:rPr>
                <w:rFonts w:ascii="Arial Narrow" w:hAnsi="Arial Narrow" w:cs="Arial"/>
                <w:sz w:val="24"/>
                <w:szCs w:val="24"/>
              </w:rPr>
            </w:pPr>
            <w:r w:rsidRPr="00CD728B">
              <w:rPr>
                <w:rFonts w:ascii="Arial Narrow" w:hAnsi="Arial Narrow" w:cs="Arial"/>
                <w:sz w:val="24"/>
                <w:szCs w:val="24"/>
              </w:rPr>
              <w:t>5.00</w:t>
            </w:r>
          </w:p>
        </w:tc>
        <w:tc>
          <w:tcPr>
            <w:tcW w:w="1201" w:type="dxa"/>
            <w:tcBorders>
              <w:top w:val="nil"/>
              <w:left w:val="nil"/>
              <w:bottom w:val="single" w:sz="4" w:space="0" w:color="auto"/>
              <w:right w:val="single" w:sz="4" w:space="0" w:color="auto"/>
            </w:tcBorders>
            <w:shd w:val="clear" w:color="000000" w:fill="FFFFFF"/>
            <w:noWrap/>
            <w:vAlign w:val="bottom"/>
            <w:hideMark/>
          </w:tcPr>
          <w:p w:rsidR="000D3657" w:rsidRPr="00CD728B" w:rsidRDefault="000D3657" w:rsidP="008D44C3">
            <w:pPr>
              <w:spacing w:before="100" w:beforeAutospacing="1" w:after="100" w:afterAutospacing="1" w:line="360" w:lineRule="auto"/>
              <w:contextualSpacing/>
              <w:jc w:val="center"/>
              <w:rPr>
                <w:rFonts w:ascii="Arial Narrow" w:hAnsi="Arial Narrow" w:cs="Arial"/>
                <w:sz w:val="24"/>
                <w:szCs w:val="24"/>
              </w:rPr>
            </w:pPr>
            <w:r w:rsidRPr="00CD728B">
              <w:rPr>
                <w:rFonts w:ascii="Arial Narrow" w:hAnsi="Arial Narrow" w:cs="Arial"/>
                <w:sz w:val="24"/>
                <w:szCs w:val="24"/>
              </w:rPr>
              <w:t>10.00</w:t>
            </w:r>
          </w:p>
        </w:tc>
      </w:tr>
      <w:tr w:rsidR="000D3657" w:rsidRPr="00CD728B" w:rsidTr="006C72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0"/>
        </w:trPr>
        <w:tc>
          <w:tcPr>
            <w:tcW w:w="6024" w:type="dxa"/>
            <w:tcBorders>
              <w:top w:val="nil"/>
              <w:left w:val="single" w:sz="4" w:space="0" w:color="auto"/>
              <w:bottom w:val="single" w:sz="4" w:space="0" w:color="auto"/>
              <w:right w:val="single" w:sz="4" w:space="0" w:color="auto"/>
            </w:tcBorders>
            <w:shd w:val="clear" w:color="auto" w:fill="auto"/>
            <w:noWrap/>
            <w:vAlign w:val="bottom"/>
            <w:hideMark/>
          </w:tcPr>
          <w:p w:rsidR="000D3657" w:rsidRPr="00CD728B" w:rsidRDefault="000D3657"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Asociación Sindical de Trabajadores del Instituto de Vivienda del Distrito Federal</w:t>
            </w:r>
          </w:p>
        </w:tc>
        <w:tc>
          <w:tcPr>
            <w:tcW w:w="709" w:type="dxa"/>
            <w:tcBorders>
              <w:top w:val="nil"/>
              <w:left w:val="nil"/>
              <w:bottom w:val="single" w:sz="4" w:space="0" w:color="auto"/>
              <w:right w:val="single" w:sz="4" w:space="0" w:color="auto"/>
            </w:tcBorders>
            <w:shd w:val="clear" w:color="auto" w:fill="C9C9C9" w:themeFill="accent3" w:themeFillTint="99"/>
            <w:noWrap/>
            <w:vAlign w:val="bottom"/>
            <w:hideMark/>
          </w:tcPr>
          <w:p w:rsidR="000D3657" w:rsidRPr="00CD728B" w:rsidRDefault="000D3657" w:rsidP="008D44C3">
            <w:pPr>
              <w:spacing w:before="100" w:beforeAutospacing="1" w:after="100" w:afterAutospacing="1" w:line="360" w:lineRule="auto"/>
              <w:contextualSpacing/>
              <w:jc w:val="center"/>
              <w:rPr>
                <w:rFonts w:ascii="Arial Narrow" w:hAnsi="Arial Narrow" w:cs="Arial"/>
                <w:sz w:val="24"/>
                <w:szCs w:val="24"/>
              </w:rPr>
            </w:pPr>
            <w:r w:rsidRPr="00CD728B">
              <w:rPr>
                <w:rFonts w:ascii="Arial Narrow" w:hAnsi="Arial Narrow" w:cs="Arial"/>
                <w:sz w:val="24"/>
                <w:szCs w:val="24"/>
              </w:rPr>
              <w:t>7.50</w:t>
            </w:r>
          </w:p>
        </w:tc>
        <w:tc>
          <w:tcPr>
            <w:tcW w:w="959" w:type="dxa"/>
            <w:tcBorders>
              <w:top w:val="nil"/>
              <w:left w:val="nil"/>
              <w:bottom w:val="single" w:sz="4" w:space="0" w:color="auto"/>
              <w:right w:val="single" w:sz="4" w:space="0" w:color="auto"/>
            </w:tcBorders>
            <w:shd w:val="clear" w:color="000000" w:fill="FFFFFF"/>
            <w:noWrap/>
            <w:vAlign w:val="bottom"/>
            <w:hideMark/>
          </w:tcPr>
          <w:p w:rsidR="000D3657" w:rsidRPr="00CD728B" w:rsidRDefault="000D3657" w:rsidP="008D44C3">
            <w:pPr>
              <w:spacing w:before="100" w:beforeAutospacing="1" w:after="100" w:afterAutospacing="1" w:line="360" w:lineRule="auto"/>
              <w:contextualSpacing/>
              <w:jc w:val="center"/>
              <w:rPr>
                <w:rFonts w:ascii="Arial Narrow" w:hAnsi="Arial Narrow" w:cs="Arial"/>
                <w:sz w:val="24"/>
                <w:szCs w:val="24"/>
              </w:rPr>
            </w:pPr>
            <w:r w:rsidRPr="00CD728B">
              <w:rPr>
                <w:rFonts w:ascii="Arial Narrow" w:hAnsi="Arial Narrow" w:cs="Arial"/>
                <w:sz w:val="24"/>
                <w:szCs w:val="24"/>
              </w:rPr>
              <w:t>5.00</w:t>
            </w:r>
          </w:p>
        </w:tc>
        <w:tc>
          <w:tcPr>
            <w:tcW w:w="1201" w:type="dxa"/>
            <w:tcBorders>
              <w:top w:val="nil"/>
              <w:left w:val="nil"/>
              <w:bottom w:val="single" w:sz="4" w:space="0" w:color="auto"/>
              <w:right w:val="single" w:sz="4" w:space="0" w:color="auto"/>
            </w:tcBorders>
            <w:shd w:val="clear" w:color="000000" w:fill="FFFFFF"/>
            <w:noWrap/>
            <w:vAlign w:val="bottom"/>
            <w:hideMark/>
          </w:tcPr>
          <w:p w:rsidR="000D3657" w:rsidRPr="00CD728B" w:rsidRDefault="000D3657" w:rsidP="008D44C3">
            <w:pPr>
              <w:spacing w:before="100" w:beforeAutospacing="1" w:after="100" w:afterAutospacing="1" w:line="360" w:lineRule="auto"/>
              <w:contextualSpacing/>
              <w:jc w:val="center"/>
              <w:rPr>
                <w:rFonts w:ascii="Arial Narrow" w:hAnsi="Arial Narrow" w:cs="Arial"/>
                <w:sz w:val="24"/>
                <w:szCs w:val="24"/>
              </w:rPr>
            </w:pPr>
            <w:r w:rsidRPr="00CD728B">
              <w:rPr>
                <w:rFonts w:ascii="Arial Narrow" w:hAnsi="Arial Narrow" w:cs="Arial"/>
                <w:sz w:val="24"/>
                <w:szCs w:val="24"/>
              </w:rPr>
              <w:t>10.00</w:t>
            </w:r>
          </w:p>
        </w:tc>
      </w:tr>
      <w:tr w:rsidR="000D3657" w:rsidRPr="00CD728B" w:rsidTr="006C72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0"/>
        </w:trPr>
        <w:tc>
          <w:tcPr>
            <w:tcW w:w="6024" w:type="dxa"/>
            <w:tcBorders>
              <w:top w:val="nil"/>
              <w:left w:val="single" w:sz="4" w:space="0" w:color="auto"/>
              <w:bottom w:val="single" w:sz="4" w:space="0" w:color="auto"/>
              <w:right w:val="single" w:sz="4" w:space="0" w:color="auto"/>
            </w:tcBorders>
            <w:shd w:val="clear" w:color="auto" w:fill="auto"/>
            <w:noWrap/>
            <w:vAlign w:val="bottom"/>
            <w:hideMark/>
          </w:tcPr>
          <w:p w:rsidR="000D3657" w:rsidRPr="00CD728B" w:rsidRDefault="000D3657"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Asociación Sindical de Trabajadores del Metro</w:t>
            </w:r>
          </w:p>
        </w:tc>
        <w:tc>
          <w:tcPr>
            <w:tcW w:w="709" w:type="dxa"/>
            <w:tcBorders>
              <w:top w:val="nil"/>
              <w:left w:val="nil"/>
              <w:bottom w:val="single" w:sz="4" w:space="0" w:color="auto"/>
              <w:right w:val="single" w:sz="4" w:space="0" w:color="auto"/>
            </w:tcBorders>
            <w:shd w:val="clear" w:color="auto" w:fill="C9C9C9" w:themeFill="accent3" w:themeFillTint="99"/>
            <w:noWrap/>
            <w:vAlign w:val="bottom"/>
            <w:hideMark/>
          </w:tcPr>
          <w:p w:rsidR="000D3657" w:rsidRPr="00CD728B" w:rsidRDefault="000D3657" w:rsidP="008D44C3">
            <w:pPr>
              <w:spacing w:before="100" w:beforeAutospacing="1" w:after="100" w:afterAutospacing="1" w:line="360" w:lineRule="auto"/>
              <w:contextualSpacing/>
              <w:jc w:val="center"/>
              <w:rPr>
                <w:rFonts w:ascii="Arial Narrow" w:hAnsi="Arial Narrow" w:cs="Arial"/>
                <w:sz w:val="24"/>
                <w:szCs w:val="24"/>
              </w:rPr>
            </w:pPr>
            <w:r w:rsidRPr="00CD728B">
              <w:rPr>
                <w:rFonts w:ascii="Arial Narrow" w:hAnsi="Arial Narrow" w:cs="Arial"/>
                <w:sz w:val="24"/>
                <w:szCs w:val="24"/>
              </w:rPr>
              <w:t>7.50</w:t>
            </w:r>
          </w:p>
        </w:tc>
        <w:tc>
          <w:tcPr>
            <w:tcW w:w="959" w:type="dxa"/>
            <w:tcBorders>
              <w:top w:val="nil"/>
              <w:left w:val="nil"/>
              <w:bottom w:val="single" w:sz="4" w:space="0" w:color="auto"/>
              <w:right w:val="single" w:sz="4" w:space="0" w:color="auto"/>
            </w:tcBorders>
            <w:shd w:val="clear" w:color="000000" w:fill="FFFFFF"/>
            <w:noWrap/>
            <w:vAlign w:val="bottom"/>
            <w:hideMark/>
          </w:tcPr>
          <w:p w:rsidR="000D3657" w:rsidRPr="00CD728B" w:rsidRDefault="000D3657" w:rsidP="008D44C3">
            <w:pPr>
              <w:spacing w:before="100" w:beforeAutospacing="1" w:after="100" w:afterAutospacing="1" w:line="360" w:lineRule="auto"/>
              <w:contextualSpacing/>
              <w:jc w:val="center"/>
              <w:rPr>
                <w:rFonts w:ascii="Arial Narrow" w:hAnsi="Arial Narrow" w:cs="Arial"/>
                <w:sz w:val="24"/>
                <w:szCs w:val="24"/>
              </w:rPr>
            </w:pPr>
            <w:r w:rsidRPr="00CD728B">
              <w:rPr>
                <w:rFonts w:ascii="Arial Narrow" w:hAnsi="Arial Narrow" w:cs="Arial"/>
                <w:sz w:val="24"/>
                <w:szCs w:val="24"/>
              </w:rPr>
              <w:t>5.00</w:t>
            </w:r>
          </w:p>
        </w:tc>
        <w:tc>
          <w:tcPr>
            <w:tcW w:w="1201" w:type="dxa"/>
            <w:tcBorders>
              <w:top w:val="nil"/>
              <w:left w:val="nil"/>
              <w:bottom w:val="single" w:sz="4" w:space="0" w:color="auto"/>
              <w:right w:val="single" w:sz="4" w:space="0" w:color="auto"/>
            </w:tcBorders>
            <w:shd w:val="clear" w:color="000000" w:fill="FFFFFF"/>
            <w:noWrap/>
            <w:vAlign w:val="bottom"/>
            <w:hideMark/>
          </w:tcPr>
          <w:p w:rsidR="000D3657" w:rsidRPr="00CD728B" w:rsidRDefault="000D3657" w:rsidP="008D44C3">
            <w:pPr>
              <w:spacing w:before="100" w:beforeAutospacing="1" w:after="100" w:afterAutospacing="1" w:line="360" w:lineRule="auto"/>
              <w:contextualSpacing/>
              <w:jc w:val="center"/>
              <w:rPr>
                <w:rFonts w:ascii="Arial Narrow" w:hAnsi="Arial Narrow" w:cs="Arial"/>
                <w:sz w:val="24"/>
                <w:szCs w:val="24"/>
              </w:rPr>
            </w:pPr>
            <w:r w:rsidRPr="00CD728B">
              <w:rPr>
                <w:rFonts w:ascii="Arial Narrow" w:hAnsi="Arial Narrow" w:cs="Arial"/>
                <w:sz w:val="24"/>
                <w:szCs w:val="24"/>
              </w:rPr>
              <w:t>10.00</w:t>
            </w:r>
          </w:p>
        </w:tc>
      </w:tr>
      <w:tr w:rsidR="000D3657" w:rsidRPr="00CD728B" w:rsidTr="006C72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0"/>
        </w:trPr>
        <w:tc>
          <w:tcPr>
            <w:tcW w:w="6024" w:type="dxa"/>
            <w:tcBorders>
              <w:top w:val="nil"/>
              <w:left w:val="single" w:sz="4" w:space="0" w:color="auto"/>
              <w:bottom w:val="single" w:sz="4" w:space="0" w:color="auto"/>
              <w:right w:val="single" w:sz="4" w:space="0" w:color="auto"/>
            </w:tcBorders>
            <w:shd w:val="clear" w:color="auto" w:fill="auto"/>
            <w:noWrap/>
            <w:vAlign w:val="bottom"/>
            <w:hideMark/>
          </w:tcPr>
          <w:p w:rsidR="000D3657" w:rsidRPr="00CD728B" w:rsidRDefault="000D3657"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Sindicato Auténtico de Trabajadores de la Asamblea Legislativa del Distrito Federal</w:t>
            </w:r>
          </w:p>
        </w:tc>
        <w:tc>
          <w:tcPr>
            <w:tcW w:w="709" w:type="dxa"/>
            <w:tcBorders>
              <w:top w:val="nil"/>
              <w:left w:val="nil"/>
              <w:bottom w:val="single" w:sz="4" w:space="0" w:color="auto"/>
              <w:right w:val="single" w:sz="4" w:space="0" w:color="auto"/>
            </w:tcBorders>
            <w:shd w:val="clear" w:color="auto" w:fill="C9C9C9" w:themeFill="accent3" w:themeFillTint="99"/>
            <w:noWrap/>
            <w:vAlign w:val="bottom"/>
            <w:hideMark/>
          </w:tcPr>
          <w:p w:rsidR="000D3657" w:rsidRPr="00CD728B" w:rsidRDefault="000D3657" w:rsidP="008D44C3">
            <w:pPr>
              <w:spacing w:before="100" w:beforeAutospacing="1" w:after="100" w:afterAutospacing="1" w:line="360" w:lineRule="auto"/>
              <w:contextualSpacing/>
              <w:jc w:val="center"/>
              <w:rPr>
                <w:rFonts w:ascii="Arial Narrow" w:hAnsi="Arial Narrow" w:cs="Arial"/>
                <w:sz w:val="24"/>
                <w:szCs w:val="24"/>
              </w:rPr>
            </w:pPr>
            <w:r w:rsidRPr="00CD728B">
              <w:rPr>
                <w:rFonts w:ascii="Arial Narrow" w:hAnsi="Arial Narrow" w:cs="Arial"/>
                <w:sz w:val="24"/>
                <w:szCs w:val="24"/>
              </w:rPr>
              <w:t>7.50</w:t>
            </w:r>
          </w:p>
        </w:tc>
        <w:tc>
          <w:tcPr>
            <w:tcW w:w="959" w:type="dxa"/>
            <w:tcBorders>
              <w:top w:val="nil"/>
              <w:left w:val="nil"/>
              <w:bottom w:val="single" w:sz="4" w:space="0" w:color="auto"/>
              <w:right w:val="single" w:sz="4" w:space="0" w:color="auto"/>
            </w:tcBorders>
            <w:shd w:val="clear" w:color="000000" w:fill="FFFFFF"/>
            <w:noWrap/>
            <w:vAlign w:val="bottom"/>
            <w:hideMark/>
          </w:tcPr>
          <w:p w:rsidR="000D3657" w:rsidRPr="00CD728B" w:rsidRDefault="000D3657" w:rsidP="008D44C3">
            <w:pPr>
              <w:spacing w:before="100" w:beforeAutospacing="1" w:after="100" w:afterAutospacing="1" w:line="360" w:lineRule="auto"/>
              <w:contextualSpacing/>
              <w:jc w:val="center"/>
              <w:rPr>
                <w:rFonts w:ascii="Arial Narrow" w:hAnsi="Arial Narrow" w:cs="Arial"/>
                <w:sz w:val="24"/>
                <w:szCs w:val="24"/>
              </w:rPr>
            </w:pPr>
            <w:r w:rsidRPr="00CD728B">
              <w:rPr>
                <w:rFonts w:ascii="Arial Narrow" w:hAnsi="Arial Narrow" w:cs="Arial"/>
                <w:sz w:val="24"/>
                <w:szCs w:val="24"/>
              </w:rPr>
              <w:t>5.00</w:t>
            </w:r>
          </w:p>
        </w:tc>
        <w:tc>
          <w:tcPr>
            <w:tcW w:w="1201" w:type="dxa"/>
            <w:tcBorders>
              <w:top w:val="nil"/>
              <w:left w:val="nil"/>
              <w:bottom w:val="single" w:sz="4" w:space="0" w:color="auto"/>
              <w:right w:val="single" w:sz="4" w:space="0" w:color="auto"/>
            </w:tcBorders>
            <w:shd w:val="clear" w:color="000000" w:fill="FFFFFF"/>
            <w:noWrap/>
            <w:vAlign w:val="bottom"/>
            <w:hideMark/>
          </w:tcPr>
          <w:p w:rsidR="000D3657" w:rsidRPr="00CD728B" w:rsidRDefault="000D3657" w:rsidP="008D44C3">
            <w:pPr>
              <w:spacing w:before="100" w:beforeAutospacing="1" w:after="100" w:afterAutospacing="1" w:line="360" w:lineRule="auto"/>
              <w:contextualSpacing/>
              <w:jc w:val="center"/>
              <w:rPr>
                <w:rFonts w:ascii="Arial Narrow" w:hAnsi="Arial Narrow" w:cs="Arial"/>
                <w:sz w:val="24"/>
                <w:szCs w:val="24"/>
              </w:rPr>
            </w:pPr>
            <w:r w:rsidRPr="00CD728B">
              <w:rPr>
                <w:rFonts w:ascii="Arial Narrow" w:hAnsi="Arial Narrow" w:cs="Arial"/>
                <w:sz w:val="24"/>
                <w:szCs w:val="24"/>
              </w:rPr>
              <w:t>10.00</w:t>
            </w:r>
          </w:p>
        </w:tc>
      </w:tr>
      <w:tr w:rsidR="000D3657" w:rsidRPr="00CD728B" w:rsidTr="006C72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0"/>
        </w:trPr>
        <w:tc>
          <w:tcPr>
            <w:tcW w:w="6024" w:type="dxa"/>
            <w:tcBorders>
              <w:top w:val="nil"/>
              <w:left w:val="single" w:sz="4" w:space="0" w:color="auto"/>
              <w:bottom w:val="single" w:sz="4" w:space="0" w:color="auto"/>
              <w:right w:val="single" w:sz="4" w:space="0" w:color="auto"/>
            </w:tcBorders>
            <w:shd w:val="clear" w:color="auto" w:fill="auto"/>
            <w:noWrap/>
            <w:vAlign w:val="bottom"/>
            <w:hideMark/>
          </w:tcPr>
          <w:p w:rsidR="000D3657" w:rsidRPr="00CD728B" w:rsidRDefault="000D3657"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lastRenderedPageBreak/>
              <w:t>Sindicato de Empleados del Servicio de Anales de Jurisprudencia</w:t>
            </w:r>
          </w:p>
        </w:tc>
        <w:tc>
          <w:tcPr>
            <w:tcW w:w="709" w:type="dxa"/>
            <w:tcBorders>
              <w:top w:val="nil"/>
              <w:left w:val="nil"/>
              <w:bottom w:val="single" w:sz="4" w:space="0" w:color="auto"/>
              <w:right w:val="single" w:sz="4" w:space="0" w:color="auto"/>
            </w:tcBorders>
            <w:shd w:val="clear" w:color="auto" w:fill="C9C9C9" w:themeFill="accent3" w:themeFillTint="99"/>
            <w:noWrap/>
            <w:vAlign w:val="bottom"/>
            <w:hideMark/>
          </w:tcPr>
          <w:p w:rsidR="000D3657" w:rsidRPr="00CD728B" w:rsidRDefault="000D3657" w:rsidP="008D44C3">
            <w:pPr>
              <w:spacing w:before="100" w:beforeAutospacing="1" w:after="100" w:afterAutospacing="1" w:line="360" w:lineRule="auto"/>
              <w:contextualSpacing/>
              <w:jc w:val="center"/>
              <w:rPr>
                <w:rFonts w:ascii="Arial Narrow" w:hAnsi="Arial Narrow" w:cs="Arial"/>
                <w:sz w:val="24"/>
                <w:szCs w:val="24"/>
              </w:rPr>
            </w:pPr>
            <w:r w:rsidRPr="00CD728B">
              <w:rPr>
                <w:rFonts w:ascii="Arial Narrow" w:hAnsi="Arial Narrow" w:cs="Arial"/>
                <w:sz w:val="24"/>
                <w:szCs w:val="24"/>
              </w:rPr>
              <w:t>7.50</w:t>
            </w:r>
          </w:p>
        </w:tc>
        <w:tc>
          <w:tcPr>
            <w:tcW w:w="959" w:type="dxa"/>
            <w:tcBorders>
              <w:top w:val="nil"/>
              <w:left w:val="nil"/>
              <w:bottom w:val="single" w:sz="4" w:space="0" w:color="auto"/>
              <w:right w:val="single" w:sz="4" w:space="0" w:color="auto"/>
            </w:tcBorders>
            <w:shd w:val="clear" w:color="000000" w:fill="FFFFFF"/>
            <w:noWrap/>
            <w:vAlign w:val="bottom"/>
            <w:hideMark/>
          </w:tcPr>
          <w:p w:rsidR="000D3657" w:rsidRPr="00CD728B" w:rsidRDefault="000D3657" w:rsidP="008D44C3">
            <w:pPr>
              <w:spacing w:before="100" w:beforeAutospacing="1" w:after="100" w:afterAutospacing="1" w:line="360" w:lineRule="auto"/>
              <w:contextualSpacing/>
              <w:jc w:val="center"/>
              <w:rPr>
                <w:rFonts w:ascii="Arial Narrow" w:hAnsi="Arial Narrow" w:cs="Arial"/>
                <w:sz w:val="24"/>
                <w:szCs w:val="24"/>
              </w:rPr>
            </w:pPr>
            <w:r w:rsidRPr="00CD728B">
              <w:rPr>
                <w:rFonts w:ascii="Arial Narrow" w:hAnsi="Arial Narrow" w:cs="Arial"/>
                <w:sz w:val="24"/>
                <w:szCs w:val="24"/>
              </w:rPr>
              <w:t>5.00</w:t>
            </w:r>
          </w:p>
        </w:tc>
        <w:tc>
          <w:tcPr>
            <w:tcW w:w="1201" w:type="dxa"/>
            <w:tcBorders>
              <w:top w:val="nil"/>
              <w:left w:val="nil"/>
              <w:bottom w:val="single" w:sz="4" w:space="0" w:color="auto"/>
              <w:right w:val="single" w:sz="4" w:space="0" w:color="auto"/>
            </w:tcBorders>
            <w:shd w:val="clear" w:color="000000" w:fill="FFFFFF"/>
            <w:noWrap/>
            <w:vAlign w:val="bottom"/>
            <w:hideMark/>
          </w:tcPr>
          <w:p w:rsidR="000D3657" w:rsidRPr="00CD728B" w:rsidRDefault="000D3657" w:rsidP="008D44C3">
            <w:pPr>
              <w:spacing w:before="100" w:beforeAutospacing="1" w:after="100" w:afterAutospacing="1" w:line="360" w:lineRule="auto"/>
              <w:contextualSpacing/>
              <w:jc w:val="center"/>
              <w:rPr>
                <w:rFonts w:ascii="Arial Narrow" w:hAnsi="Arial Narrow" w:cs="Arial"/>
                <w:sz w:val="24"/>
                <w:szCs w:val="24"/>
              </w:rPr>
            </w:pPr>
            <w:r w:rsidRPr="00CD728B">
              <w:rPr>
                <w:rFonts w:ascii="Arial Narrow" w:hAnsi="Arial Narrow" w:cs="Arial"/>
                <w:sz w:val="24"/>
                <w:szCs w:val="24"/>
              </w:rPr>
              <w:t>10.00</w:t>
            </w:r>
          </w:p>
        </w:tc>
      </w:tr>
      <w:tr w:rsidR="000D3657" w:rsidRPr="00CD728B" w:rsidTr="006C72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0"/>
        </w:trPr>
        <w:tc>
          <w:tcPr>
            <w:tcW w:w="6024" w:type="dxa"/>
            <w:tcBorders>
              <w:top w:val="nil"/>
              <w:left w:val="single" w:sz="4" w:space="0" w:color="auto"/>
              <w:bottom w:val="single" w:sz="4" w:space="0" w:color="auto"/>
              <w:right w:val="single" w:sz="4" w:space="0" w:color="auto"/>
            </w:tcBorders>
            <w:shd w:val="clear" w:color="auto" w:fill="auto"/>
            <w:noWrap/>
            <w:vAlign w:val="bottom"/>
            <w:hideMark/>
          </w:tcPr>
          <w:p w:rsidR="000D3657" w:rsidRPr="00CD728B" w:rsidRDefault="000D3657"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Sindicato de la Unión de Trabajadores del Instituto de Educación Media Superior del Distrito Federal</w:t>
            </w:r>
          </w:p>
        </w:tc>
        <w:tc>
          <w:tcPr>
            <w:tcW w:w="709" w:type="dxa"/>
            <w:tcBorders>
              <w:top w:val="nil"/>
              <w:left w:val="nil"/>
              <w:bottom w:val="single" w:sz="4" w:space="0" w:color="auto"/>
              <w:right w:val="single" w:sz="4" w:space="0" w:color="auto"/>
            </w:tcBorders>
            <w:shd w:val="clear" w:color="auto" w:fill="C9C9C9" w:themeFill="accent3" w:themeFillTint="99"/>
            <w:noWrap/>
            <w:vAlign w:val="bottom"/>
            <w:hideMark/>
          </w:tcPr>
          <w:p w:rsidR="000D3657" w:rsidRPr="00CD728B" w:rsidRDefault="000D3657" w:rsidP="008D44C3">
            <w:pPr>
              <w:spacing w:before="100" w:beforeAutospacing="1" w:after="100" w:afterAutospacing="1" w:line="360" w:lineRule="auto"/>
              <w:contextualSpacing/>
              <w:jc w:val="center"/>
              <w:rPr>
                <w:rFonts w:ascii="Arial Narrow" w:hAnsi="Arial Narrow" w:cs="Arial"/>
                <w:sz w:val="24"/>
                <w:szCs w:val="24"/>
              </w:rPr>
            </w:pPr>
            <w:r w:rsidRPr="00CD728B">
              <w:rPr>
                <w:rFonts w:ascii="Arial Narrow" w:hAnsi="Arial Narrow" w:cs="Arial"/>
                <w:sz w:val="24"/>
                <w:szCs w:val="24"/>
              </w:rPr>
              <w:t>7.50</w:t>
            </w:r>
          </w:p>
        </w:tc>
        <w:tc>
          <w:tcPr>
            <w:tcW w:w="959" w:type="dxa"/>
            <w:tcBorders>
              <w:top w:val="nil"/>
              <w:left w:val="nil"/>
              <w:bottom w:val="single" w:sz="4" w:space="0" w:color="auto"/>
              <w:right w:val="single" w:sz="4" w:space="0" w:color="auto"/>
            </w:tcBorders>
            <w:shd w:val="clear" w:color="000000" w:fill="FFFFFF"/>
            <w:noWrap/>
            <w:vAlign w:val="bottom"/>
            <w:hideMark/>
          </w:tcPr>
          <w:p w:rsidR="000D3657" w:rsidRPr="00CD728B" w:rsidRDefault="000D3657" w:rsidP="008D44C3">
            <w:pPr>
              <w:spacing w:before="100" w:beforeAutospacing="1" w:after="100" w:afterAutospacing="1" w:line="360" w:lineRule="auto"/>
              <w:contextualSpacing/>
              <w:jc w:val="center"/>
              <w:rPr>
                <w:rFonts w:ascii="Arial Narrow" w:hAnsi="Arial Narrow" w:cs="Arial"/>
                <w:sz w:val="24"/>
                <w:szCs w:val="24"/>
              </w:rPr>
            </w:pPr>
            <w:r w:rsidRPr="00CD728B">
              <w:rPr>
                <w:rFonts w:ascii="Arial Narrow" w:hAnsi="Arial Narrow" w:cs="Arial"/>
                <w:sz w:val="24"/>
                <w:szCs w:val="24"/>
              </w:rPr>
              <w:t>5.00</w:t>
            </w:r>
          </w:p>
        </w:tc>
        <w:tc>
          <w:tcPr>
            <w:tcW w:w="1201" w:type="dxa"/>
            <w:tcBorders>
              <w:top w:val="nil"/>
              <w:left w:val="nil"/>
              <w:bottom w:val="single" w:sz="4" w:space="0" w:color="auto"/>
              <w:right w:val="single" w:sz="4" w:space="0" w:color="auto"/>
            </w:tcBorders>
            <w:shd w:val="clear" w:color="000000" w:fill="FFFFFF"/>
            <w:noWrap/>
            <w:vAlign w:val="bottom"/>
            <w:hideMark/>
          </w:tcPr>
          <w:p w:rsidR="000D3657" w:rsidRPr="00CD728B" w:rsidRDefault="000D3657" w:rsidP="008D44C3">
            <w:pPr>
              <w:spacing w:before="100" w:beforeAutospacing="1" w:after="100" w:afterAutospacing="1" w:line="360" w:lineRule="auto"/>
              <w:contextualSpacing/>
              <w:jc w:val="center"/>
              <w:rPr>
                <w:rFonts w:ascii="Arial Narrow" w:hAnsi="Arial Narrow" w:cs="Arial"/>
                <w:sz w:val="24"/>
                <w:szCs w:val="24"/>
              </w:rPr>
            </w:pPr>
            <w:r w:rsidRPr="00CD728B">
              <w:rPr>
                <w:rFonts w:ascii="Arial Narrow" w:hAnsi="Arial Narrow" w:cs="Arial"/>
                <w:sz w:val="24"/>
                <w:szCs w:val="24"/>
              </w:rPr>
              <w:t>10.00</w:t>
            </w:r>
          </w:p>
        </w:tc>
      </w:tr>
      <w:tr w:rsidR="000D3657" w:rsidRPr="00CD728B" w:rsidTr="006C72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0"/>
        </w:trPr>
        <w:tc>
          <w:tcPr>
            <w:tcW w:w="6024" w:type="dxa"/>
            <w:tcBorders>
              <w:top w:val="nil"/>
              <w:left w:val="single" w:sz="4" w:space="0" w:color="auto"/>
              <w:bottom w:val="single" w:sz="4" w:space="0" w:color="auto"/>
              <w:right w:val="single" w:sz="4" w:space="0" w:color="auto"/>
            </w:tcBorders>
            <w:shd w:val="clear" w:color="auto" w:fill="auto"/>
            <w:noWrap/>
            <w:vAlign w:val="bottom"/>
            <w:hideMark/>
          </w:tcPr>
          <w:p w:rsidR="000D3657" w:rsidRPr="00CD728B" w:rsidRDefault="000D3657"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Sindicato de Trabajadores de la Asamblea Legislativa del Distrito Federal</w:t>
            </w:r>
          </w:p>
        </w:tc>
        <w:tc>
          <w:tcPr>
            <w:tcW w:w="709" w:type="dxa"/>
            <w:tcBorders>
              <w:top w:val="nil"/>
              <w:left w:val="nil"/>
              <w:bottom w:val="single" w:sz="4" w:space="0" w:color="auto"/>
              <w:right w:val="single" w:sz="4" w:space="0" w:color="auto"/>
            </w:tcBorders>
            <w:shd w:val="clear" w:color="auto" w:fill="C9C9C9" w:themeFill="accent3" w:themeFillTint="99"/>
            <w:noWrap/>
            <w:vAlign w:val="bottom"/>
            <w:hideMark/>
          </w:tcPr>
          <w:p w:rsidR="000D3657" w:rsidRPr="00CD728B" w:rsidRDefault="000D3657" w:rsidP="008D44C3">
            <w:pPr>
              <w:spacing w:before="100" w:beforeAutospacing="1" w:after="100" w:afterAutospacing="1" w:line="360" w:lineRule="auto"/>
              <w:contextualSpacing/>
              <w:jc w:val="center"/>
              <w:rPr>
                <w:rFonts w:ascii="Arial Narrow" w:hAnsi="Arial Narrow" w:cs="Arial"/>
                <w:sz w:val="24"/>
                <w:szCs w:val="24"/>
              </w:rPr>
            </w:pPr>
            <w:r w:rsidRPr="00CD728B">
              <w:rPr>
                <w:rFonts w:ascii="Arial Narrow" w:hAnsi="Arial Narrow" w:cs="Arial"/>
                <w:sz w:val="24"/>
                <w:szCs w:val="24"/>
              </w:rPr>
              <w:t>7.50</w:t>
            </w:r>
          </w:p>
        </w:tc>
        <w:tc>
          <w:tcPr>
            <w:tcW w:w="959" w:type="dxa"/>
            <w:tcBorders>
              <w:top w:val="nil"/>
              <w:left w:val="nil"/>
              <w:bottom w:val="single" w:sz="4" w:space="0" w:color="auto"/>
              <w:right w:val="single" w:sz="4" w:space="0" w:color="auto"/>
            </w:tcBorders>
            <w:shd w:val="clear" w:color="000000" w:fill="FFFFFF"/>
            <w:noWrap/>
            <w:vAlign w:val="bottom"/>
            <w:hideMark/>
          </w:tcPr>
          <w:p w:rsidR="000D3657" w:rsidRPr="00CD728B" w:rsidRDefault="000D3657" w:rsidP="008D44C3">
            <w:pPr>
              <w:spacing w:before="100" w:beforeAutospacing="1" w:after="100" w:afterAutospacing="1" w:line="360" w:lineRule="auto"/>
              <w:contextualSpacing/>
              <w:jc w:val="center"/>
              <w:rPr>
                <w:rFonts w:ascii="Arial Narrow" w:hAnsi="Arial Narrow" w:cs="Arial"/>
                <w:sz w:val="24"/>
                <w:szCs w:val="24"/>
              </w:rPr>
            </w:pPr>
            <w:r w:rsidRPr="00CD728B">
              <w:rPr>
                <w:rFonts w:ascii="Arial Narrow" w:hAnsi="Arial Narrow" w:cs="Arial"/>
                <w:sz w:val="24"/>
                <w:szCs w:val="24"/>
              </w:rPr>
              <w:t>5.00</w:t>
            </w:r>
          </w:p>
        </w:tc>
        <w:tc>
          <w:tcPr>
            <w:tcW w:w="1201" w:type="dxa"/>
            <w:tcBorders>
              <w:top w:val="nil"/>
              <w:left w:val="nil"/>
              <w:bottom w:val="single" w:sz="4" w:space="0" w:color="auto"/>
              <w:right w:val="single" w:sz="4" w:space="0" w:color="auto"/>
            </w:tcBorders>
            <w:shd w:val="clear" w:color="000000" w:fill="FFFFFF"/>
            <w:noWrap/>
            <w:vAlign w:val="bottom"/>
            <w:hideMark/>
          </w:tcPr>
          <w:p w:rsidR="000D3657" w:rsidRPr="00CD728B" w:rsidRDefault="000D3657" w:rsidP="008D44C3">
            <w:pPr>
              <w:spacing w:before="100" w:beforeAutospacing="1" w:after="100" w:afterAutospacing="1" w:line="360" w:lineRule="auto"/>
              <w:contextualSpacing/>
              <w:jc w:val="center"/>
              <w:rPr>
                <w:rFonts w:ascii="Arial Narrow" w:hAnsi="Arial Narrow" w:cs="Arial"/>
                <w:sz w:val="24"/>
                <w:szCs w:val="24"/>
              </w:rPr>
            </w:pPr>
            <w:r w:rsidRPr="00CD728B">
              <w:rPr>
                <w:rFonts w:ascii="Arial Narrow" w:hAnsi="Arial Narrow" w:cs="Arial"/>
                <w:sz w:val="24"/>
                <w:szCs w:val="24"/>
              </w:rPr>
              <w:t>10.00</w:t>
            </w:r>
          </w:p>
        </w:tc>
      </w:tr>
      <w:tr w:rsidR="000D3657" w:rsidRPr="00CD728B" w:rsidTr="006C72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0"/>
        </w:trPr>
        <w:tc>
          <w:tcPr>
            <w:tcW w:w="6024" w:type="dxa"/>
            <w:tcBorders>
              <w:top w:val="nil"/>
              <w:left w:val="single" w:sz="4" w:space="0" w:color="auto"/>
              <w:bottom w:val="single" w:sz="4" w:space="0" w:color="auto"/>
              <w:right w:val="single" w:sz="4" w:space="0" w:color="auto"/>
            </w:tcBorders>
            <w:shd w:val="clear" w:color="auto" w:fill="auto"/>
            <w:noWrap/>
            <w:vAlign w:val="bottom"/>
            <w:hideMark/>
          </w:tcPr>
          <w:p w:rsidR="000D3657" w:rsidRPr="00CD728B" w:rsidRDefault="000D3657"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Sindicato de Trabajadores de la Auditoría Superior de la Ciudad de México</w:t>
            </w:r>
          </w:p>
        </w:tc>
        <w:tc>
          <w:tcPr>
            <w:tcW w:w="709" w:type="dxa"/>
            <w:tcBorders>
              <w:top w:val="nil"/>
              <w:left w:val="nil"/>
              <w:bottom w:val="single" w:sz="4" w:space="0" w:color="auto"/>
              <w:right w:val="single" w:sz="4" w:space="0" w:color="auto"/>
            </w:tcBorders>
            <w:shd w:val="clear" w:color="auto" w:fill="C9C9C9" w:themeFill="accent3" w:themeFillTint="99"/>
            <w:noWrap/>
            <w:vAlign w:val="bottom"/>
            <w:hideMark/>
          </w:tcPr>
          <w:p w:rsidR="000D3657" w:rsidRPr="00CD728B" w:rsidRDefault="000D3657" w:rsidP="008D44C3">
            <w:pPr>
              <w:spacing w:before="100" w:beforeAutospacing="1" w:after="100" w:afterAutospacing="1" w:line="360" w:lineRule="auto"/>
              <w:contextualSpacing/>
              <w:jc w:val="center"/>
              <w:rPr>
                <w:rFonts w:ascii="Arial Narrow" w:hAnsi="Arial Narrow" w:cs="Arial"/>
                <w:sz w:val="24"/>
                <w:szCs w:val="24"/>
              </w:rPr>
            </w:pPr>
            <w:r w:rsidRPr="00CD728B">
              <w:rPr>
                <w:rFonts w:ascii="Arial Narrow" w:hAnsi="Arial Narrow" w:cs="Arial"/>
                <w:sz w:val="24"/>
                <w:szCs w:val="24"/>
              </w:rPr>
              <w:t>7.50</w:t>
            </w:r>
          </w:p>
        </w:tc>
        <w:tc>
          <w:tcPr>
            <w:tcW w:w="959" w:type="dxa"/>
            <w:tcBorders>
              <w:top w:val="nil"/>
              <w:left w:val="nil"/>
              <w:bottom w:val="single" w:sz="4" w:space="0" w:color="auto"/>
              <w:right w:val="single" w:sz="4" w:space="0" w:color="auto"/>
            </w:tcBorders>
            <w:shd w:val="clear" w:color="000000" w:fill="FFFFFF"/>
            <w:noWrap/>
            <w:vAlign w:val="bottom"/>
            <w:hideMark/>
          </w:tcPr>
          <w:p w:rsidR="000D3657" w:rsidRPr="00CD728B" w:rsidRDefault="000D3657" w:rsidP="008D44C3">
            <w:pPr>
              <w:spacing w:before="100" w:beforeAutospacing="1" w:after="100" w:afterAutospacing="1" w:line="360" w:lineRule="auto"/>
              <w:contextualSpacing/>
              <w:jc w:val="center"/>
              <w:rPr>
                <w:rFonts w:ascii="Arial Narrow" w:hAnsi="Arial Narrow" w:cs="Arial"/>
                <w:sz w:val="24"/>
                <w:szCs w:val="24"/>
              </w:rPr>
            </w:pPr>
            <w:r w:rsidRPr="00CD728B">
              <w:rPr>
                <w:rFonts w:ascii="Arial Narrow" w:hAnsi="Arial Narrow" w:cs="Arial"/>
                <w:sz w:val="24"/>
                <w:szCs w:val="24"/>
              </w:rPr>
              <w:t>5.00</w:t>
            </w:r>
          </w:p>
        </w:tc>
        <w:tc>
          <w:tcPr>
            <w:tcW w:w="1201" w:type="dxa"/>
            <w:tcBorders>
              <w:top w:val="nil"/>
              <w:left w:val="nil"/>
              <w:bottom w:val="single" w:sz="4" w:space="0" w:color="auto"/>
              <w:right w:val="single" w:sz="4" w:space="0" w:color="auto"/>
            </w:tcBorders>
            <w:shd w:val="clear" w:color="000000" w:fill="FFFFFF"/>
            <w:noWrap/>
            <w:vAlign w:val="bottom"/>
            <w:hideMark/>
          </w:tcPr>
          <w:p w:rsidR="000D3657" w:rsidRPr="00CD728B" w:rsidRDefault="000D3657" w:rsidP="008D44C3">
            <w:pPr>
              <w:spacing w:before="100" w:beforeAutospacing="1" w:after="100" w:afterAutospacing="1" w:line="360" w:lineRule="auto"/>
              <w:contextualSpacing/>
              <w:jc w:val="center"/>
              <w:rPr>
                <w:rFonts w:ascii="Arial Narrow" w:hAnsi="Arial Narrow" w:cs="Arial"/>
                <w:sz w:val="24"/>
                <w:szCs w:val="24"/>
              </w:rPr>
            </w:pPr>
            <w:r w:rsidRPr="00CD728B">
              <w:rPr>
                <w:rFonts w:ascii="Arial Narrow" w:hAnsi="Arial Narrow" w:cs="Arial"/>
                <w:sz w:val="24"/>
                <w:szCs w:val="24"/>
              </w:rPr>
              <w:t>10.00</w:t>
            </w:r>
          </w:p>
        </w:tc>
      </w:tr>
      <w:tr w:rsidR="000D3657" w:rsidRPr="00CD728B" w:rsidTr="006C72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0"/>
        </w:trPr>
        <w:tc>
          <w:tcPr>
            <w:tcW w:w="6024" w:type="dxa"/>
            <w:tcBorders>
              <w:top w:val="nil"/>
              <w:left w:val="single" w:sz="4" w:space="0" w:color="auto"/>
              <w:bottom w:val="single" w:sz="4" w:space="0" w:color="auto"/>
              <w:right w:val="single" w:sz="4" w:space="0" w:color="auto"/>
            </w:tcBorders>
            <w:shd w:val="clear" w:color="auto" w:fill="auto"/>
            <w:noWrap/>
            <w:vAlign w:val="bottom"/>
            <w:hideMark/>
          </w:tcPr>
          <w:p w:rsidR="000D3657" w:rsidRPr="00CD728B" w:rsidRDefault="000D3657"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Sindicato de Trabajadores de Transporte de Pasajeros del Distrito Federal</w:t>
            </w:r>
          </w:p>
        </w:tc>
        <w:tc>
          <w:tcPr>
            <w:tcW w:w="709" w:type="dxa"/>
            <w:tcBorders>
              <w:top w:val="nil"/>
              <w:left w:val="nil"/>
              <w:bottom w:val="single" w:sz="4" w:space="0" w:color="auto"/>
              <w:right w:val="single" w:sz="4" w:space="0" w:color="auto"/>
            </w:tcBorders>
            <w:shd w:val="clear" w:color="auto" w:fill="C9C9C9" w:themeFill="accent3" w:themeFillTint="99"/>
            <w:noWrap/>
            <w:vAlign w:val="bottom"/>
            <w:hideMark/>
          </w:tcPr>
          <w:p w:rsidR="000D3657" w:rsidRPr="00CD728B" w:rsidRDefault="000D3657" w:rsidP="008D44C3">
            <w:pPr>
              <w:spacing w:before="100" w:beforeAutospacing="1" w:after="100" w:afterAutospacing="1" w:line="360" w:lineRule="auto"/>
              <w:contextualSpacing/>
              <w:jc w:val="center"/>
              <w:rPr>
                <w:rFonts w:ascii="Arial Narrow" w:hAnsi="Arial Narrow" w:cs="Arial"/>
                <w:sz w:val="24"/>
                <w:szCs w:val="24"/>
              </w:rPr>
            </w:pPr>
            <w:r w:rsidRPr="00CD728B">
              <w:rPr>
                <w:rFonts w:ascii="Arial Narrow" w:hAnsi="Arial Narrow" w:cs="Arial"/>
                <w:sz w:val="24"/>
                <w:szCs w:val="24"/>
              </w:rPr>
              <w:t>7.50</w:t>
            </w:r>
          </w:p>
        </w:tc>
        <w:tc>
          <w:tcPr>
            <w:tcW w:w="959" w:type="dxa"/>
            <w:tcBorders>
              <w:top w:val="nil"/>
              <w:left w:val="nil"/>
              <w:bottom w:val="single" w:sz="4" w:space="0" w:color="auto"/>
              <w:right w:val="single" w:sz="4" w:space="0" w:color="auto"/>
            </w:tcBorders>
            <w:shd w:val="clear" w:color="000000" w:fill="FFFFFF"/>
            <w:noWrap/>
            <w:vAlign w:val="bottom"/>
            <w:hideMark/>
          </w:tcPr>
          <w:p w:rsidR="000D3657" w:rsidRPr="00CD728B" w:rsidRDefault="000D3657" w:rsidP="008D44C3">
            <w:pPr>
              <w:spacing w:before="100" w:beforeAutospacing="1" w:after="100" w:afterAutospacing="1" w:line="360" w:lineRule="auto"/>
              <w:contextualSpacing/>
              <w:jc w:val="center"/>
              <w:rPr>
                <w:rFonts w:ascii="Arial Narrow" w:hAnsi="Arial Narrow" w:cs="Arial"/>
                <w:sz w:val="24"/>
                <w:szCs w:val="24"/>
              </w:rPr>
            </w:pPr>
            <w:r w:rsidRPr="00CD728B">
              <w:rPr>
                <w:rFonts w:ascii="Arial Narrow" w:hAnsi="Arial Narrow" w:cs="Arial"/>
                <w:sz w:val="24"/>
                <w:szCs w:val="24"/>
              </w:rPr>
              <w:t>5.00</w:t>
            </w:r>
          </w:p>
        </w:tc>
        <w:tc>
          <w:tcPr>
            <w:tcW w:w="1201" w:type="dxa"/>
            <w:tcBorders>
              <w:top w:val="nil"/>
              <w:left w:val="nil"/>
              <w:bottom w:val="single" w:sz="4" w:space="0" w:color="auto"/>
              <w:right w:val="single" w:sz="4" w:space="0" w:color="auto"/>
            </w:tcBorders>
            <w:shd w:val="clear" w:color="000000" w:fill="FFFFFF"/>
            <w:noWrap/>
            <w:vAlign w:val="bottom"/>
            <w:hideMark/>
          </w:tcPr>
          <w:p w:rsidR="000D3657" w:rsidRPr="00CD728B" w:rsidRDefault="000D3657" w:rsidP="008D44C3">
            <w:pPr>
              <w:spacing w:before="100" w:beforeAutospacing="1" w:after="100" w:afterAutospacing="1" w:line="360" w:lineRule="auto"/>
              <w:contextualSpacing/>
              <w:jc w:val="center"/>
              <w:rPr>
                <w:rFonts w:ascii="Arial Narrow" w:hAnsi="Arial Narrow" w:cs="Arial"/>
                <w:sz w:val="24"/>
                <w:szCs w:val="24"/>
              </w:rPr>
            </w:pPr>
            <w:r w:rsidRPr="00CD728B">
              <w:rPr>
                <w:rFonts w:ascii="Arial Narrow" w:hAnsi="Arial Narrow" w:cs="Arial"/>
                <w:sz w:val="24"/>
                <w:szCs w:val="24"/>
              </w:rPr>
              <w:t>10.00</w:t>
            </w:r>
          </w:p>
        </w:tc>
      </w:tr>
      <w:tr w:rsidR="000D3657" w:rsidRPr="00CD728B" w:rsidTr="006C72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0"/>
        </w:trPr>
        <w:tc>
          <w:tcPr>
            <w:tcW w:w="6024" w:type="dxa"/>
            <w:tcBorders>
              <w:top w:val="nil"/>
              <w:left w:val="single" w:sz="4" w:space="0" w:color="auto"/>
              <w:bottom w:val="single" w:sz="4" w:space="0" w:color="auto"/>
              <w:right w:val="single" w:sz="4" w:space="0" w:color="auto"/>
            </w:tcBorders>
            <w:shd w:val="clear" w:color="auto" w:fill="auto"/>
            <w:noWrap/>
            <w:vAlign w:val="bottom"/>
            <w:hideMark/>
          </w:tcPr>
          <w:p w:rsidR="000D3657" w:rsidRPr="00CD728B" w:rsidRDefault="000D3657"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Sindicato de Trabajadores del Tribunal Superior de Justicia del Distrito Federal</w:t>
            </w:r>
          </w:p>
        </w:tc>
        <w:tc>
          <w:tcPr>
            <w:tcW w:w="709" w:type="dxa"/>
            <w:tcBorders>
              <w:top w:val="nil"/>
              <w:left w:val="nil"/>
              <w:bottom w:val="single" w:sz="4" w:space="0" w:color="auto"/>
              <w:right w:val="single" w:sz="4" w:space="0" w:color="auto"/>
            </w:tcBorders>
            <w:shd w:val="clear" w:color="auto" w:fill="C9C9C9" w:themeFill="accent3" w:themeFillTint="99"/>
            <w:noWrap/>
            <w:vAlign w:val="bottom"/>
            <w:hideMark/>
          </w:tcPr>
          <w:p w:rsidR="000D3657" w:rsidRPr="00CD728B" w:rsidRDefault="000D3657" w:rsidP="008D44C3">
            <w:pPr>
              <w:spacing w:before="100" w:beforeAutospacing="1" w:after="100" w:afterAutospacing="1" w:line="360" w:lineRule="auto"/>
              <w:contextualSpacing/>
              <w:jc w:val="center"/>
              <w:rPr>
                <w:rFonts w:ascii="Arial Narrow" w:hAnsi="Arial Narrow" w:cs="Arial"/>
                <w:sz w:val="24"/>
                <w:szCs w:val="24"/>
              </w:rPr>
            </w:pPr>
            <w:r w:rsidRPr="00CD728B">
              <w:rPr>
                <w:rFonts w:ascii="Arial Narrow" w:hAnsi="Arial Narrow" w:cs="Arial"/>
                <w:sz w:val="24"/>
                <w:szCs w:val="24"/>
              </w:rPr>
              <w:t>7.50</w:t>
            </w:r>
          </w:p>
        </w:tc>
        <w:tc>
          <w:tcPr>
            <w:tcW w:w="959" w:type="dxa"/>
            <w:tcBorders>
              <w:top w:val="nil"/>
              <w:left w:val="nil"/>
              <w:bottom w:val="single" w:sz="4" w:space="0" w:color="auto"/>
              <w:right w:val="single" w:sz="4" w:space="0" w:color="auto"/>
            </w:tcBorders>
            <w:shd w:val="clear" w:color="000000" w:fill="FFFFFF"/>
            <w:noWrap/>
            <w:vAlign w:val="bottom"/>
            <w:hideMark/>
          </w:tcPr>
          <w:p w:rsidR="000D3657" w:rsidRPr="00CD728B" w:rsidRDefault="000D3657" w:rsidP="008D44C3">
            <w:pPr>
              <w:spacing w:before="100" w:beforeAutospacing="1" w:after="100" w:afterAutospacing="1" w:line="360" w:lineRule="auto"/>
              <w:contextualSpacing/>
              <w:jc w:val="center"/>
              <w:rPr>
                <w:rFonts w:ascii="Arial Narrow" w:hAnsi="Arial Narrow" w:cs="Arial"/>
                <w:sz w:val="24"/>
                <w:szCs w:val="24"/>
              </w:rPr>
            </w:pPr>
            <w:r w:rsidRPr="00CD728B">
              <w:rPr>
                <w:rFonts w:ascii="Arial Narrow" w:hAnsi="Arial Narrow" w:cs="Arial"/>
                <w:sz w:val="24"/>
                <w:szCs w:val="24"/>
              </w:rPr>
              <w:t>5.00</w:t>
            </w:r>
          </w:p>
        </w:tc>
        <w:tc>
          <w:tcPr>
            <w:tcW w:w="1201" w:type="dxa"/>
            <w:tcBorders>
              <w:top w:val="nil"/>
              <w:left w:val="nil"/>
              <w:bottom w:val="single" w:sz="4" w:space="0" w:color="auto"/>
              <w:right w:val="single" w:sz="4" w:space="0" w:color="auto"/>
            </w:tcBorders>
            <w:shd w:val="clear" w:color="000000" w:fill="FFFFFF"/>
            <w:noWrap/>
            <w:vAlign w:val="bottom"/>
            <w:hideMark/>
          </w:tcPr>
          <w:p w:rsidR="000D3657" w:rsidRPr="00CD728B" w:rsidRDefault="000D3657" w:rsidP="008D44C3">
            <w:pPr>
              <w:spacing w:before="100" w:beforeAutospacing="1" w:after="100" w:afterAutospacing="1" w:line="360" w:lineRule="auto"/>
              <w:contextualSpacing/>
              <w:jc w:val="center"/>
              <w:rPr>
                <w:rFonts w:ascii="Arial Narrow" w:hAnsi="Arial Narrow" w:cs="Arial"/>
                <w:sz w:val="24"/>
                <w:szCs w:val="24"/>
              </w:rPr>
            </w:pPr>
            <w:r w:rsidRPr="00CD728B">
              <w:rPr>
                <w:rFonts w:ascii="Arial Narrow" w:hAnsi="Arial Narrow" w:cs="Arial"/>
                <w:sz w:val="24"/>
                <w:szCs w:val="24"/>
              </w:rPr>
              <w:t>10.00</w:t>
            </w:r>
          </w:p>
        </w:tc>
      </w:tr>
      <w:tr w:rsidR="000D3657" w:rsidRPr="00CD728B" w:rsidTr="006C72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0"/>
        </w:trPr>
        <w:tc>
          <w:tcPr>
            <w:tcW w:w="6024" w:type="dxa"/>
            <w:tcBorders>
              <w:top w:val="nil"/>
              <w:left w:val="single" w:sz="4" w:space="0" w:color="auto"/>
              <w:bottom w:val="single" w:sz="4" w:space="0" w:color="auto"/>
              <w:right w:val="single" w:sz="4" w:space="0" w:color="auto"/>
            </w:tcBorders>
            <w:shd w:val="clear" w:color="auto" w:fill="auto"/>
            <w:noWrap/>
            <w:vAlign w:val="bottom"/>
            <w:hideMark/>
          </w:tcPr>
          <w:p w:rsidR="000D3657" w:rsidRPr="00CD728B" w:rsidRDefault="000D3657"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Sindicato del Heroico Cuerpo de Bomberos del Distrito Federal</w:t>
            </w:r>
          </w:p>
        </w:tc>
        <w:tc>
          <w:tcPr>
            <w:tcW w:w="709" w:type="dxa"/>
            <w:tcBorders>
              <w:top w:val="nil"/>
              <w:left w:val="nil"/>
              <w:bottom w:val="single" w:sz="4" w:space="0" w:color="auto"/>
              <w:right w:val="single" w:sz="4" w:space="0" w:color="auto"/>
            </w:tcBorders>
            <w:shd w:val="clear" w:color="auto" w:fill="C9C9C9" w:themeFill="accent3" w:themeFillTint="99"/>
            <w:noWrap/>
            <w:vAlign w:val="bottom"/>
            <w:hideMark/>
          </w:tcPr>
          <w:p w:rsidR="000D3657" w:rsidRPr="00CD728B" w:rsidRDefault="000D3657" w:rsidP="008D44C3">
            <w:pPr>
              <w:spacing w:before="100" w:beforeAutospacing="1" w:after="100" w:afterAutospacing="1" w:line="360" w:lineRule="auto"/>
              <w:contextualSpacing/>
              <w:jc w:val="center"/>
              <w:rPr>
                <w:rFonts w:ascii="Arial Narrow" w:hAnsi="Arial Narrow" w:cs="Arial"/>
                <w:sz w:val="24"/>
                <w:szCs w:val="24"/>
              </w:rPr>
            </w:pPr>
            <w:r w:rsidRPr="00CD728B">
              <w:rPr>
                <w:rFonts w:ascii="Arial Narrow" w:hAnsi="Arial Narrow" w:cs="Arial"/>
                <w:sz w:val="24"/>
                <w:szCs w:val="24"/>
              </w:rPr>
              <w:t>7.50</w:t>
            </w:r>
          </w:p>
        </w:tc>
        <w:tc>
          <w:tcPr>
            <w:tcW w:w="959" w:type="dxa"/>
            <w:tcBorders>
              <w:top w:val="nil"/>
              <w:left w:val="nil"/>
              <w:bottom w:val="single" w:sz="4" w:space="0" w:color="auto"/>
              <w:right w:val="single" w:sz="4" w:space="0" w:color="auto"/>
            </w:tcBorders>
            <w:shd w:val="clear" w:color="000000" w:fill="FFFFFF"/>
            <w:noWrap/>
            <w:vAlign w:val="bottom"/>
            <w:hideMark/>
          </w:tcPr>
          <w:p w:rsidR="000D3657" w:rsidRPr="00CD728B" w:rsidRDefault="000D3657" w:rsidP="008D44C3">
            <w:pPr>
              <w:spacing w:before="100" w:beforeAutospacing="1" w:after="100" w:afterAutospacing="1" w:line="360" w:lineRule="auto"/>
              <w:contextualSpacing/>
              <w:jc w:val="center"/>
              <w:rPr>
                <w:rFonts w:ascii="Arial Narrow" w:hAnsi="Arial Narrow" w:cs="Arial"/>
                <w:sz w:val="24"/>
                <w:szCs w:val="24"/>
              </w:rPr>
            </w:pPr>
            <w:r w:rsidRPr="00CD728B">
              <w:rPr>
                <w:rFonts w:ascii="Arial Narrow" w:hAnsi="Arial Narrow" w:cs="Arial"/>
                <w:sz w:val="24"/>
                <w:szCs w:val="24"/>
              </w:rPr>
              <w:t>5.00</w:t>
            </w:r>
          </w:p>
        </w:tc>
        <w:tc>
          <w:tcPr>
            <w:tcW w:w="1201" w:type="dxa"/>
            <w:tcBorders>
              <w:top w:val="nil"/>
              <w:left w:val="nil"/>
              <w:bottom w:val="single" w:sz="4" w:space="0" w:color="auto"/>
              <w:right w:val="single" w:sz="4" w:space="0" w:color="auto"/>
            </w:tcBorders>
            <w:shd w:val="clear" w:color="000000" w:fill="FFFFFF"/>
            <w:noWrap/>
            <w:vAlign w:val="bottom"/>
            <w:hideMark/>
          </w:tcPr>
          <w:p w:rsidR="000D3657" w:rsidRPr="00CD728B" w:rsidRDefault="000D3657" w:rsidP="008D44C3">
            <w:pPr>
              <w:spacing w:before="100" w:beforeAutospacing="1" w:after="100" w:afterAutospacing="1" w:line="360" w:lineRule="auto"/>
              <w:contextualSpacing/>
              <w:jc w:val="center"/>
              <w:rPr>
                <w:rFonts w:ascii="Arial Narrow" w:hAnsi="Arial Narrow" w:cs="Arial"/>
                <w:sz w:val="24"/>
                <w:szCs w:val="24"/>
              </w:rPr>
            </w:pPr>
            <w:r w:rsidRPr="00CD728B">
              <w:rPr>
                <w:rFonts w:ascii="Arial Narrow" w:hAnsi="Arial Narrow" w:cs="Arial"/>
                <w:sz w:val="24"/>
                <w:szCs w:val="24"/>
              </w:rPr>
              <w:t>10.00</w:t>
            </w:r>
          </w:p>
        </w:tc>
      </w:tr>
      <w:tr w:rsidR="000D3657" w:rsidRPr="00CD728B" w:rsidTr="006C72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0"/>
        </w:trPr>
        <w:tc>
          <w:tcPr>
            <w:tcW w:w="6024" w:type="dxa"/>
            <w:tcBorders>
              <w:top w:val="nil"/>
              <w:left w:val="single" w:sz="4" w:space="0" w:color="auto"/>
              <w:bottom w:val="single" w:sz="4" w:space="0" w:color="auto"/>
              <w:right w:val="single" w:sz="4" w:space="0" w:color="auto"/>
            </w:tcBorders>
            <w:shd w:val="clear" w:color="auto" w:fill="auto"/>
            <w:noWrap/>
            <w:vAlign w:val="bottom"/>
            <w:hideMark/>
          </w:tcPr>
          <w:p w:rsidR="000D3657" w:rsidRPr="00CD728B" w:rsidRDefault="000D3657"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Sindicato Democrático de los Trabajadores de la Procuraduría Social del Distrito Federal</w:t>
            </w:r>
          </w:p>
        </w:tc>
        <w:tc>
          <w:tcPr>
            <w:tcW w:w="709" w:type="dxa"/>
            <w:tcBorders>
              <w:top w:val="nil"/>
              <w:left w:val="nil"/>
              <w:bottom w:val="single" w:sz="4" w:space="0" w:color="auto"/>
              <w:right w:val="single" w:sz="4" w:space="0" w:color="auto"/>
            </w:tcBorders>
            <w:shd w:val="clear" w:color="auto" w:fill="C9C9C9" w:themeFill="accent3" w:themeFillTint="99"/>
            <w:noWrap/>
            <w:vAlign w:val="bottom"/>
            <w:hideMark/>
          </w:tcPr>
          <w:p w:rsidR="000D3657" w:rsidRPr="00CD728B" w:rsidRDefault="000D3657" w:rsidP="008D44C3">
            <w:pPr>
              <w:spacing w:before="100" w:beforeAutospacing="1" w:after="100" w:afterAutospacing="1" w:line="360" w:lineRule="auto"/>
              <w:contextualSpacing/>
              <w:jc w:val="center"/>
              <w:rPr>
                <w:rFonts w:ascii="Arial Narrow" w:hAnsi="Arial Narrow" w:cs="Arial"/>
                <w:sz w:val="24"/>
                <w:szCs w:val="24"/>
              </w:rPr>
            </w:pPr>
            <w:r w:rsidRPr="00CD728B">
              <w:rPr>
                <w:rFonts w:ascii="Arial Narrow" w:hAnsi="Arial Narrow" w:cs="Arial"/>
                <w:sz w:val="24"/>
                <w:szCs w:val="24"/>
              </w:rPr>
              <w:t>7.50</w:t>
            </w:r>
          </w:p>
        </w:tc>
        <w:tc>
          <w:tcPr>
            <w:tcW w:w="959" w:type="dxa"/>
            <w:tcBorders>
              <w:top w:val="nil"/>
              <w:left w:val="nil"/>
              <w:bottom w:val="single" w:sz="4" w:space="0" w:color="auto"/>
              <w:right w:val="single" w:sz="4" w:space="0" w:color="auto"/>
            </w:tcBorders>
            <w:shd w:val="clear" w:color="000000" w:fill="FFFFFF"/>
            <w:noWrap/>
            <w:vAlign w:val="bottom"/>
            <w:hideMark/>
          </w:tcPr>
          <w:p w:rsidR="000D3657" w:rsidRPr="00CD728B" w:rsidRDefault="000D3657" w:rsidP="008D44C3">
            <w:pPr>
              <w:spacing w:before="100" w:beforeAutospacing="1" w:after="100" w:afterAutospacing="1" w:line="360" w:lineRule="auto"/>
              <w:contextualSpacing/>
              <w:jc w:val="center"/>
              <w:rPr>
                <w:rFonts w:ascii="Arial Narrow" w:hAnsi="Arial Narrow" w:cs="Arial"/>
                <w:sz w:val="24"/>
                <w:szCs w:val="24"/>
              </w:rPr>
            </w:pPr>
            <w:r w:rsidRPr="00CD728B">
              <w:rPr>
                <w:rFonts w:ascii="Arial Narrow" w:hAnsi="Arial Narrow" w:cs="Arial"/>
                <w:sz w:val="24"/>
                <w:szCs w:val="24"/>
              </w:rPr>
              <w:t>5.00</w:t>
            </w:r>
          </w:p>
        </w:tc>
        <w:tc>
          <w:tcPr>
            <w:tcW w:w="1201" w:type="dxa"/>
            <w:tcBorders>
              <w:top w:val="nil"/>
              <w:left w:val="nil"/>
              <w:bottom w:val="single" w:sz="4" w:space="0" w:color="auto"/>
              <w:right w:val="single" w:sz="4" w:space="0" w:color="auto"/>
            </w:tcBorders>
            <w:shd w:val="clear" w:color="000000" w:fill="FFFFFF"/>
            <w:noWrap/>
            <w:vAlign w:val="bottom"/>
            <w:hideMark/>
          </w:tcPr>
          <w:p w:rsidR="000D3657" w:rsidRPr="00CD728B" w:rsidRDefault="000D3657" w:rsidP="008D44C3">
            <w:pPr>
              <w:spacing w:before="100" w:beforeAutospacing="1" w:after="100" w:afterAutospacing="1" w:line="360" w:lineRule="auto"/>
              <w:contextualSpacing/>
              <w:jc w:val="center"/>
              <w:rPr>
                <w:rFonts w:ascii="Arial Narrow" w:hAnsi="Arial Narrow" w:cs="Arial"/>
                <w:sz w:val="24"/>
                <w:szCs w:val="24"/>
              </w:rPr>
            </w:pPr>
            <w:r w:rsidRPr="00CD728B">
              <w:rPr>
                <w:rFonts w:ascii="Arial Narrow" w:hAnsi="Arial Narrow" w:cs="Arial"/>
                <w:sz w:val="24"/>
                <w:szCs w:val="24"/>
              </w:rPr>
              <w:t>10.00</w:t>
            </w:r>
          </w:p>
        </w:tc>
      </w:tr>
      <w:tr w:rsidR="000D3657" w:rsidRPr="00CD728B" w:rsidTr="006C72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0"/>
        </w:trPr>
        <w:tc>
          <w:tcPr>
            <w:tcW w:w="6024" w:type="dxa"/>
            <w:tcBorders>
              <w:top w:val="nil"/>
              <w:left w:val="single" w:sz="4" w:space="0" w:color="auto"/>
              <w:bottom w:val="single" w:sz="4" w:space="0" w:color="auto"/>
              <w:right w:val="single" w:sz="4" w:space="0" w:color="auto"/>
            </w:tcBorders>
            <w:shd w:val="clear" w:color="auto" w:fill="auto"/>
            <w:noWrap/>
            <w:vAlign w:val="bottom"/>
            <w:hideMark/>
          </w:tcPr>
          <w:p w:rsidR="000D3657" w:rsidRPr="00CD728B" w:rsidRDefault="000D3657"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Sindicato Independiente de Trabajadores Unidos de la Asamblea Legislativa del Distrito Federal</w:t>
            </w:r>
          </w:p>
        </w:tc>
        <w:tc>
          <w:tcPr>
            <w:tcW w:w="709" w:type="dxa"/>
            <w:tcBorders>
              <w:top w:val="nil"/>
              <w:left w:val="nil"/>
              <w:bottom w:val="single" w:sz="4" w:space="0" w:color="auto"/>
              <w:right w:val="single" w:sz="4" w:space="0" w:color="auto"/>
            </w:tcBorders>
            <w:shd w:val="clear" w:color="auto" w:fill="C9C9C9" w:themeFill="accent3" w:themeFillTint="99"/>
            <w:noWrap/>
            <w:vAlign w:val="bottom"/>
            <w:hideMark/>
          </w:tcPr>
          <w:p w:rsidR="000D3657" w:rsidRPr="00CD728B" w:rsidRDefault="000D3657" w:rsidP="008D44C3">
            <w:pPr>
              <w:spacing w:before="100" w:beforeAutospacing="1" w:after="100" w:afterAutospacing="1" w:line="360" w:lineRule="auto"/>
              <w:contextualSpacing/>
              <w:jc w:val="center"/>
              <w:rPr>
                <w:rFonts w:ascii="Arial Narrow" w:hAnsi="Arial Narrow" w:cs="Arial"/>
                <w:sz w:val="24"/>
                <w:szCs w:val="24"/>
              </w:rPr>
            </w:pPr>
            <w:r w:rsidRPr="00CD728B">
              <w:rPr>
                <w:rFonts w:ascii="Arial Narrow" w:hAnsi="Arial Narrow" w:cs="Arial"/>
                <w:sz w:val="24"/>
                <w:szCs w:val="24"/>
              </w:rPr>
              <w:t>7.50</w:t>
            </w:r>
          </w:p>
        </w:tc>
        <w:tc>
          <w:tcPr>
            <w:tcW w:w="959" w:type="dxa"/>
            <w:tcBorders>
              <w:top w:val="nil"/>
              <w:left w:val="nil"/>
              <w:bottom w:val="single" w:sz="4" w:space="0" w:color="auto"/>
              <w:right w:val="single" w:sz="4" w:space="0" w:color="auto"/>
            </w:tcBorders>
            <w:shd w:val="clear" w:color="000000" w:fill="FFFFFF"/>
            <w:noWrap/>
            <w:vAlign w:val="bottom"/>
            <w:hideMark/>
          </w:tcPr>
          <w:p w:rsidR="000D3657" w:rsidRPr="00CD728B" w:rsidRDefault="000D3657" w:rsidP="008D44C3">
            <w:pPr>
              <w:spacing w:before="100" w:beforeAutospacing="1" w:after="100" w:afterAutospacing="1" w:line="360" w:lineRule="auto"/>
              <w:contextualSpacing/>
              <w:jc w:val="center"/>
              <w:rPr>
                <w:rFonts w:ascii="Arial Narrow" w:hAnsi="Arial Narrow" w:cs="Arial"/>
                <w:sz w:val="24"/>
                <w:szCs w:val="24"/>
              </w:rPr>
            </w:pPr>
            <w:r w:rsidRPr="00CD728B">
              <w:rPr>
                <w:rFonts w:ascii="Arial Narrow" w:hAnsi="Arial Narrow" w:cs="Arial"/>
                <w:sz w:val="24"/>
                <w:szCs w:val="24"/>
              </w:rPr>
              <w:t>5.00</w:t>
            </w:r>
          </w:p>
        </w:tc>
        <w:tc>
          <w:tcPr>
            <w:tcW w:w="1201" w:type="dxa"/>
            <w:tcBorders>
              <w:top w:val="nil"/>
              <w:left w:val="nil"/>
              <w:bottom w:val="single" w:sz="4" w:space="0" w:color="auto"/>
              <w:right w:val="single" w:sz="4" w:space="0" w:color="auto"/>
            </w:tcBorders>
            <w:shd w:val="clear" w:color="000000" w:fill="FFFFFF"/>
            <w:noWrap/>
            <w:vAlign w:val="bottom"/>
            <w:hideMark/>
          </w:tcPr>
          <w:p w:rsidR="000D3657" w:rsidRPr="00CD728B" w:rsidRDefault="000D3657" w:rsidP="008D44C3">
            <w:pPr>
              <w:spacing w:before="100" w:beforeAutospacing="1" w:after="100" w:afterAutospacing="1" w:line="360" w:lineRule="auto"/>
              <w:contextualSpacing/>
              <w:jc w:val="center"/>
              <w:rPr>
                <w:rFonts w:ascii="Arial Narrow" w:hAnsi="Arial Narrow" w:cs="Arial"/>
                <w:sz w:val="24"/>
                <w:szCs w:val="24"/>
              </w:rPr>
            </w:pPr>
            <w:r w:rsidRPr="00CD728B">
              <w:rPr>
                <w:rFonts w:ascii="Arial Narrow" w:hAnsi="Arial Narrow" w:cs="Arial"/>
                <w:sz w:val="24"/>
                <w:szCs w:val="24"/>
              </w:rPr>
              <w:t>10.00</w:t>
            </w:r>
          </w:p>
        </w:tc>
      </w:tr>
      <w:tr w:rsidR="000D3657" w:rsidRPr="00CD728B" w:rsidTr="006C72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0"/>
        </w:trPr>
        <w:tc>
          <w:tcPr>
            <w:tcW w:w="6024" w:type="dxa"/>
            <w:tcBorders>
              <w:top w:val="nil"/>
              <w:left w:val="single" w:sz="4" w:space="0" w:color="auto"/>
              <w:bottom w:val="single" w:sz="4" w:space="0" w:color="auto"/>
              <w:right w:val="single" w:sz="4" w:space="0" w:color="auto"/>
            </w:tcBorders>
            <w:shd w:val="clear" w:color="auto" w:fill="auto"/>
            <w:noWrap/>
            <w:vAlign w:val="bottom"/>
            <w:hideMark/>
          </w:tcPr>
          <w:p w:rsidR="000D3657" w:rsidRPr="00CD728B" w:rsidRDefault="000D3657"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Sindicato Único de Trabajadores de la Universidad Autónoma de la Ciudad de México</w:t>
            </w:r>
          </w:p>
        </w:tc>
        <w:tc>
          <w:tcPr>
            <w:tcW w:w="709" w:type="dxa"/>
            <w:tcBorders>
              <w:top w:val="nil"/>
              <w:left w:val="nil"/>
              <w:bottom w:val="single" w:sz="4" w:space="0" w:color="auto"/>
              <w:right w:val="single" w:sz="4" w:space="0" w:color="auto"/>
            </w:tcBorders>
            <w:shd w:val="clear" w:color="auto" w:fill="C9C9C9" w:themeFill="accent3" w:themeFillTint="99"/>
            <w:noWrap/>
            <w:vAlign w:val="bottom"/>
            <w:hideMark/>
          </w:tcPr>
          <w:p w:rsidR="000D3657" w:rsidRPr="00CD728B" w:rsidRDefault="000D3657" w:rsidP="008D44C3">
            <w:pPr>
              <w:spacing w:before="100" w:beforeAutospacing="1" w:after="100" w:afterAutospacing="1" w:line="360" w:lineRule="auto"/>
              <w:contextualSpacing/>
              <w:jc w:val="center"/>
              <w:rPr>
                <w:rFonts w:ascii="Arial Narrow" w:hAnsi="Arial Narrow" w:cs="Arial"/>
                <w:sz w:val="24"/>
                <w:szCs w:val="24"/>
              </w:rPr>
            </w:pPr>
            <w:r w:rsidRPr="00CD728B">
              <w:rPr>
                <w:rFonts w:ascii="Arial Narrow" w:hAnsi="Arial Narrow" w:cs="Arial"/>
                <w:sz w:val="24"/>
                <w:szCs w:val="24"/>
              </w:rPr>
              <w:t>7.50</w:t>
            </w:r>
          </w:p>
        </w:tc>
        <w:tc>
          <w:tcPr>
            <w:tcW w:w="959" w:type="dxa"/>
            <w:tcBorders>
              <w:top w:val="nil"/>
              <w:left w:val="nil"/>
              <w:bottom w:val="single" w:sz="4" w:space="0" w:color="auto"/>
              <w:right w:val="single" w:sz="4" w:space="0" w:color="auto"/>
            </w:tcBorders>
            <w:shd w:val="clear" w:color="000000" w:fill="FFFFFF"/>
            <w:noWrap/>
            <w:vAlign w:val="bottom"/>
            <w:hideMark/>
          </w:tcPr>
          <w:p w:rsidR="000D3657" w:rsidRPr="00CD728B" w:rsidRDefault="000D3657" w:rsidP="008D44C3">
            <w:pPr>
              <w:spacing w:before="100" w:beforeAutospacing="1" w:after="100" w:afterAutospacing="1" w:line="360" w:lineRule="auto"/>
              <w:contextualSpacing/>
              <w:jc w:val="center"/>
              <w:rPr>
                <w:rFonts w:ascii="Arial Narrow" w:hAnsi="Arial Narrow" w:cs="Arial"/>
                <w:sz w:val="24"/>
                <w:szCs w:val="24"/>
              </w:rPr>
            </w:pPr>
            <w:r w:rsidRPr="00CD728B">
              <w:rPr>
                <w:rFonts w:ascii="Arial Narrow" w:hAnsi="Arial Narrow" w:cs="Arial"/>
                <w:sz w:val="24"/>
                <w:szCs w:val="24"/>
              </w:rPr>
              <w:t>5.00</w:t>
            </w:r>
          </w:p>
        </w:tc>
        <w:tc>
          <w:tcPr>
            <w:tcW w:w="1201" w:type="dxa"/>
            <w:tcBorders>
              <w:top w:val="nil"/>
              <w:left w:val="nil"/>
              <w:bottom w:val="single" w:sz="4" w:space="0" w:color="auto"/>
              <w:right w:val="single" w:sz="4" w:space="0" w:color="auto"/>
            </w:tcBorders>
            <w:shd w:val="clear" w:color="000000" w:fill="FFFFFF"/>
            <w:noWrap/>
            <w:vAlign w:val="bottom"/>
            <w:hideMark/>
          </w:tcPr>
          <w:p w:rsidR="000D3657" w:rsidRPr="00CD728B" w:rsidRDefault="000D3657" w:rsidP="008D44C3">
            <w:pPr>
              <w:spacing w:before="100" w:beforeAutospacing="1" w:after="100" w:afterAutospacing="1" w:line="360" w:lineRule="auto"/>
              <w:contextualSpacing/>
              <w:jc w:val="center"/>
              <w:rPr>
                <w:rFonts w:ascii="Arial Narrow" w:hAnsi="Arial Narrow" w:cs="Arial"/>
                <w:sz w:val="24"/>
                <w:szCs w:val="24"/>
              </w:rPr>
            </w:pPr>
            <w:r w:rsidRPr="00CD728B">
              <w:rPr>
                <w:rFonts w:ascii="Arial Narrow" w:hAnsi="Arial Narrow" w:cs="Arial"/>
                <w:sz w:val="24"/>
                <w:szCs w:val="24"/>
              </w:rPr>
              <w:t>10.00</w:t>
            </w:r>
          </w:p>
        </w:tc>
      </w:tr>
      <w:tr w:rsidR="000D3657" w:rsidRPr="00CD728B" w:rsidTr="006C72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0"/>
        </w:trPr>
        <w:tc>
          <w:tcPr>
            <w:tcW w:w="6024" w:type="dxa"/>
            <w:tcBorders>
              <w:top w:val="nil"/>
              <w:left w:val="single" w:sz="4" w:space="0" w:color="auto"/>
              <w:bottom w:val="single" w:sz="4" w:space="0" w:color="auto"/>
              <w:right w:val="single" w:sz="4" w:space="0" w:color="auto"/>
            </w:tcBorders>
            <w:shd w:val="clear" w:color="auto" w:fill="auto"/>
            <w:noWrap/>
            <w:vAlign w:val="bottom"/>
            <w:hideMark/>
          </w:tcPr>
          <w:p w:rsidR="000D3657" w:rsidRPr="00CD728B" w:rsidRDefault="000D3657"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Sindicato Único de Trabajadores Democráticos del Sistema de Transporte Colectivo</w:t>
            </w:r>
          </w:p>
        </w:tc>
        <w:tc>
          <w:tcPr>
            <w:tcW w:w="709" w:type="dxa"/>
            <w:tcBorders>
              <w:top w:val="nil"/>
              <w:left w:val="nil"/>
              <w:bottom w:val="single" w:sz="4" w:space="0" w:color="auto"/>
              <w:right w:val="single" w:sz="4" w:space="0" w:color="auto"/>
            </w:tcBorders>
            <w:shd w:val="clear" w:color="auto" w:fill="C9C9C9" w:themeFill="accent3" w:themeFillTint="99"/>
            <w:noWrap/>
            <w:vAlign w:val="bottom"/>
            <w:hideMark/>
          </w:tcPr>
          <w:p w:rsidR="000D3657" w:rsidRPr="00CD728B" w:rsidRDefault="000D3657" w:rsidP="008D44C3">
            <w:pPr>
              <w:spacing w:before="100" w:beforeAutospacing="1" w:after="100" w:afterAutospacing="1" w:line="360" w:lineRule="auto"/>
              <w:contextualSpacing/>
              <w:jc w:val="center"/>
              <w:rPr>
                <w:rFonts w:ascii="Arial Narrow" w:hAnsi="Arial Narrow" w:cs="Arial"/>
                <w:sz w:val="24"/>
                <w:szCs w:val="24"/>
              </w:rPr>
            </w:pPr>
            <w:r w:rsidRPr="00CD728B">
              <w:rPr>
                <w:rFonts w:ascii="Arial Narrow" w:hAnsi="Arial Narrow" w:cs="Arial"/>
                <w:sz w:val="24"/>
                <w:szCs w:val="24"/>
              </w:rPr>
              <w:t>7.50</w:t>
            </w:r>
          </w:p>
        </w:tc>
        <w:tc>
          <w:tcPr>
            <w:tcW w:w="959" w:type="dxa"/>
            <w:tcBorders>
              <w:top w:val="nil"/>
              <w:left w:val="nil"/>
              <w:bottom w:val="single" w:sz="4" w:space="0" w:color="auto"/>
              <w:right w:val="single" w:sz="4" w:space="0" w:color="auto"/>
            </w:tcBorders>
            <w:shd w:val="clear" w:color="000000" w:fill="FFFFFF"/>
            <w:noWrap/>
            <w:vAlign w:val="bottom"/>
            <w:hideMark/>
          </w:tcPr>
          <w:p w:rsidR="000D3657" w:rsidRPr="00CD728B" w:rsidRDefault="000D3657" w:rsidP="008D44C3">
            <w:pPr>
              <w:spacing w:before="100" w:beforeAutospacing="1" w:after="100" w:afterAutospacing="1" w:line="360" w:lineRule="auto"/>
              <w:contextualSpacing/>
              <w:jc w:val="center"/>
              <w:rPr>
                <w:rFonts w:ascii="Arial Narrow" w:hAnsi="Arial Narrow" w:cs="Arial"/>
                <w:sz w:val="24"/>
                <w:szCs w:val="24"/>
              </w:rPr>
            </w:pPr>
            <w:r w:rsidRPr="00CD728B">
              <w:rPr>
                <w:rFonts w:ascii="Arial Narrow" w:hAnsi="Arial Narrow" w:cs="Arial"/>
                <w:sz w:val="24"/>
                <w:szCs w:val="24"/>
              </w:rPr>
              <w:t>5.00</w:t>
            </w:r>
          </w:p>
        </w:tc>
        <w:tc>
          <w:tcPr>
            <w:tcW w:w="1201" w:type="dxa"/>
            <w:tcBorders>
              <w:top w:val="nil"/>
              <w:left w:val="nil"/>
              <w:bottom w:val="single" w:sz="4" w:space="0" w:color="auto"/>
              <w:right w:val="single" w:sz="4" w:space="0" w:color="auto"/>
            </w:tcBorders>
            <w:shd w:val="clear" w:color="000000" w:fill="FFFFFF"/>
            <w:noWrap/>
            <w:vAlign w:val="bottom"/>
            <w:hideMark/>
          </w:tcPr>
          <w:p w:rsidR="000D3657" w:rsidRPr="00CD728B" w:rsidRDefault="000D3657" w:rsidP="008D44C3">
            <w:pPr>
              <w:spacing w:before="100" w:beforeAutospacing="1" w:after="100" w:afterAutospacing="1" w:line="360" w:lineRule="auto"/>
              <w:contextualSpacing/>
              <w:jc w:val="center"/>
              <w:rPr>
                <w:rFonts w:ascii="Arial Narrow" w:hAnsi="Arial Narrow" w:cs="Arial"/>
                <w:sz w:val="24"/>
                <w:szCs w:val="24"/>
              </w:rPr>
            </w:pPr>
            <w:r w:rsidRPr="00CD728B">
              <w:rPr>
                <w:rFonts w:ascii="Arial Narrow" w:hAnsi="Arial Narrow" w:cs="Arial"/>
                <w:sz w:val="24"/>
                <w:szCs w:val="24"/>
              </w:rPr>
              <w:t>10.00</w:t>
            </w:r>
          </w:p>
        </w:tc>
      </w:tr>
    </w:tbl>
    <w:p w:rsidR="006C722A" w:rsidRPr="006C722A" w:rsidRDefault="006C722A" w:rsidP="006C722A">
      <w:pPr>
        <w:spacing w:before="100" w:beforeAutospacing="1" w:after="100" w:afterAutospacing="1" w:line="360" w:lineRule="auto"/>
        <w:contextualSpacing/>
        <w:jc w:val="both"/>
        <w:rPr>
          <w:rFonts w:ascii="Arial Narrow" w:hAnsi="Arial Narrow" w:cs="Arial"/>
          <w:sz w:val="20"/>
          <w:szCs w:val="24"/>
        </w:rPr>
      </w:pPr>
      <w:r w:rsidRPr="006C722A">
        <w:rPr>
          <w:rFonts w:ascii="Arial Narrow" w:hAnsi="Arial Narrow" w:cs="Arial"/>
          <w:b/>
          <w:sz w:val="20"/>
          <w:szCs w:val="24"/>
        </w:rPr>
        <w:t>Nota metodológica</w:t>
      </w:r>
      <w:r w:rsidRPr="006C722A">
        <w:rPr>
          <w:rFonts w:ascii="Arial Narrow" w:hAnsi="Arial Narrow" w:cs="Arial"/>
          <w:sz w:val="20"/>
          <w:szCs w:val="24"/>
        </w:rPr>
        <w:t>: El IGOT se</w:t>
      </w:r>
      <w:r w:rsidR="00623A69">
        <w:rPr>
          <w:rFonts w:ascii="Arial Narrow" w:hAnsi="Arial Narrow" w:cs="Arial"/>
          <w:sz w:val="20"/>
          <w:szCs w:val="24"/>
        </w:rPr>
        <w:t xml:space="preserve"> compone del promedio de ICOT-PT</w:t>
      </w:r>
      <w:r w:rsidRPr="006C722A">
        <w:rPr>
          <w:rFonts w:ascii="Arial Narrow" w:hAnsi="Arial Narrow" w:cs="Arial"/>
          <w:sz w:val="20"/>
          <w:szCs w:val="24"/>
        </w:rPr>
        <w:t xml:space="preserve"> e ICOT-PNT.</w:t>
      </w:r>
    </w:p>
    <w:p w:rsidR="000D3657" w:rsidRPr="00CD728B" w:rsidRDefault="000D3657"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 xml:space="preserve">En atención a la Tabla de Aplicabilidad realizada por la DEAEE del Instituto, las obligaciones que los sindicatos deben actualizar y publicar en el SIPOT de la PNT, así como en sus respectivos portales de internet son las contempladas en los siguientes </w:t>
      </w:r>
      <w:r w:rsidR="009D7771">
        <w:rPr>
          <w:rFonts w:ascii="Arial Narrow" w:hAnsi="Arial Narrow" w:cs="Arial"/>
          <w:sz w:val="24"/>
          <w:szCs w:val="24"/>
        </w:rPr>
        <w:t>Artículo</w:t>
      </w:r>
      <w:r w:rsidRPr="00CD728B">
        <w:rPr>
          <w:rFonts w:ascii="Arial Narrow" w:hAnsi="Arial Narrow" w:cs="Arial"/>
          <w:sz w:val="24"/>
          <w:szCs w:val="24"/>
        </w:rPr>
        <w:t xml:space="preserve">s: </w:t>
      </w:r>
    </w:p>
    <w:p w:rsidR="000D3657" w:rsidRPr="00CD728B" w:rsidRDefault="009D7771" w:rsidP="002E7D47">
      <w:pPr>
        <w:pStyle w:val="Prrafodelista"/>
        <w:numPr>
          <w:ilvl w:val="0"/>
          <w:numId w:val="29"/>
        </w:numPr>
        <w:spacing w:before="100" w:beforeAutospacing="1" w:after="100" w:afterAutospacing="1" w:line="360" w:lineRule="auto"/>
        <w:jc w:val="both"/>
        <w:rPr>
          <w:rFonts w:ascii="Arial Narrow" w:hAnsi="Arial Narrow" w:cs="Arial"/>
          <w:sz w:val="24"/>
          <w:szCs w:val="24"/>
          <w:lang w:val="es-ES_tradnl"/>
        </w:rPr>
      </w:pPr>
      <w:r>
        <w:rPr>
          <w:rFonts w:ascii="Arial Narrow" w:hAnsi="Arial Narrow" w:cs="Arial"/>
          <w:sz w:val="24"/>
          <w:szCs w:val="24"/>
          <w:lang w:val="es-ES_tradnl"/>
        </w:rPr>
        <w:lastRenderedPageBreak/>
        <w:t>Artículo</w:t>
      </w:r>
      <w:r w:rsidR="000D3657" w:rsidRPr="00CD728B">
        <w:rPr>
          <w:rFonts w:ascii="Arial Narrow" w:hAnsi="Arial Narrow" w:cs="Arial"/>
          <w:sz w:val="24"/>
          <w:szCs w:val="24"/>
          <w:lang w:val="es-ES_tradnl"/>
        </w:rPr>
        <w:t xml:space="preserve"> 121. Obligaciones comunes, en los que respecta a las fracciones I-III, XIV, IXX-XX, XXV-XXVI, IXX, XXXI-XXXII, XXXVI, XXXVIII, XLIII, XLV, XLIX y LII,</w:t>
      </w:r>
    </w:p>
    <w:p w:rsidR="000D3657" w:rsidRPr="00CD728B" w:rsidRDefault="009D7771" w:rsidP="002E7D47">
      <w:pPr>
        <w:pStyle w:val="Prrafodelista"/>
        <w:numPr>
          <w:ilvl w:val="0"/>
          <w:numId w:val="29"/>
        </w:numPr>
        <w:spacing w:before="100" w:beforeAutospacing="1" w:after="100" w:afterAutospacing="1" w:line="360" w:lineRule="auto"/>
        <w:jc w:val="both"/>
        <w:rPr>
          <w:rFonts w:ascii="Arial Narrow" w:hAnsi="Arial Narrow" w:cs="Arial"/>
          <w:sz w:val="24"/>
          <w:szCs w:val="24"/>
          <w:lang w:val="es-ES_tradnl"/>
        </w:rPr>
      </w:pPr>
      <w:r>
        <w:rPr>
          <w:rFonts w:ascii="Arial Narrow" w:hAnsi="Arial Narrow" w:cs="Arial"/>
          <w:sz w:val="24"/>
          <w:szCs w:val="24"/>
          <w:lang w:val="es-ES_tradnl"/>
        </w:rPr>
        <w:t>Artículo</w:t>
      </w:r>
      <w:r w:rsidR="000D3657" w:rsidRPr="00CD728B">
        <w:rPr>
          <w:rFonts w:ascii="Arial Narrow" w:hAnsi="Arial Narrow" w:cs="Arial"/>
          <w:sz w:val="24"/>
          <w:szCs w:val="24"/>
          <w:lang w:val="es-ES_tradnl"/>
        </w:rPr>
        <w:t xml:space="preserve"> 137. Obligaciones específicas de la Junta de Conciliación y Arbitraje, en lo que respecta a las fracciones I-X,</w:t>
      </w:r>
    </w:p>
    <w:p w:rsidR="000D3657" w:rsidRPr="00CD728B" w:rsidRDefault="009D7771" w:rsidP="002E7D47">
      <w:pPr>
        <w:pStyle w:val="Prrafodelista"/>
        <w:numPr>
          <w:ilvl w:val="0"/>
          <w:numId w:val="29"/>
        </w:numPr>
        <w:spacing w:before="100" w:beforeAutospacing="1" w:after="100" w:afterAutospacing="1" w:line="360" w:lineRule="auto"/>
        <w:jc w:val="both"/>
        <w:rPr>
          <w:rFonts w:ascii="Arial Narrow" w:hAnsi="Arial Narrow" w:cs="Arial"/>
          <w:sz w:val="24"/>
          <w:szCs w:val="24"/>
          <w:lang w:val="es-ES_tradnl"/>
        </w:rPr>
      </w:pPr>
      <w:r>
        <w:rPr>
          <w:rFonts w:ascii="Arial Narrow" w:hAnsi="Arial Narrow" w:cs="Arial"/>
          <w:sz w:val="24"/>
          <w:szCs w:val="24"/>
          <w:lang w:val="es-ES_tradnl"/>
        </w:rPr>
        <w:t>Artículo</w:t>
      </w:r>
      <w:r w:rsidR="000D3657" w:rsidRPr="00CD728B">
        <w:rPr>
          <w:rFonts w:ascii="Arial Narrow" w:hAnsi="Arial Narrow" w:cs="Arial"/>
          <w:sz w:val="24"/>
          <w:szCs w:val="24"/>
          <w:lang w:val="es-ES_tradnl"/>
        </w:rPr>
        <w:t xml:space="preserve"> 138. Obligaciones específicas de los Sindicatos,</w:t>
      </w:r>
    </w:p>
    <w:p w:rsidR="000D3657" w:rsidRPr="00CD728B" w:rsidRDefault="009D7771" w:rsidP="002E7D47">
      <w:pPr>
        <w:pStyle w:val="Prrafodelista"/>
        <w:numPr>
          <w:ilvl w:val="0"/>
          <w:numId w:val="29"/>
        </w:numPr>
        <w:spacing w:before="100" w:beforeAutospacing="1" w:after="100" w:afterAutospacing="1" w:line="360" w:lineRule="auto"/>
        <w:jc w:val="both"/>
        <w:rPr>
          <w:rFonts w:ascii="Arial Narrow" w:hAnsi="Arial Narrow" w:cs="Arial"/>
          <w:sz w:val="24"/>
          <w:szCs w:val="24"/>
          <w:lang w:val="es-ES_tradnl"/>
        </w:rPr>
      </w:pPr>
      <w:r>
        <w:rPr>
          <w:rFonts w:ascii="Arial Narrow" w:hAnsi="Arial Narrow" w:cs="Arial"/>
          <w:sz w:val="24"/>
          <w:szCs w:val="24"/>
          <w:lang w:val="es-ES_tradnl"/>
        </w:rPr>
        <w:t>Artículo</w:t>
      </w:r>
      <w:r w:rsidR="000D3657" w:rsidRPr="00CD728B">
        <w:rPr>
          <w:rFonts w:ascii="Arial Narrow" w:hAnsi="Arial Narrow" w:cs="Arial"/>
          <w:sz w:val="24"/>
          <w:szCs w:val="24"/>
          <w:lang w:val="es-ES_tradnl"/>
        </w:rPr>
        <w:t xml:space="preserve"> 145. Disposiciones Particulares,</w:t>
      </w:r>
    </w:p>
    <w:p w:rsidR="000D3657" w:rsidRPr="00CD728B" w:rsidRDefault="009D7771" w:rsidP="002E7D47">
      <w:pPr>
        <w:pStyle w:val="Prrafodelista"/>
        <w:numPr>
          <w:ilvl w:val="0"/>
          <w:numId w:val="29"/>
        </w:numPr>
        <w:spacing w:before="100" w:beforeAutospacing="1" w:after="100" w:afterAutospacing="1" w:line="360" w:lineRule="auto"/>
        <w:jc w:val="both"/>
        <w:rPr>
          <w:rFonts w:ascii="Arial Narrow" w:hAnsi="Arial Narrow" w:cs="Arial"/>
          <w:sz w:val="24"/>
          <w:szCs w:val="24"/>
          <w:lang w:val="es-ES_tradnl"/>
        </w:rPr>
      </w:pPr>
      <w:r>
        <w:rPr>
          <w:rFonts w:ascii="Arial Narrow" w:hAnsi="Arial Narrow" w:cs="Arial"/>
          <w:sz w:val="24"/>
          <w:szCs w:val="24"/>
          <w:lang w:val="es-ES_tradnl"/>
        </w:rPr>
        <w:t>Artículo</w:t>
      </w:r>
      <w:r w:rsidR="000D3657" w:rsidRPr="00CD728B">
        <w:rPr>
          <w:rFonts w:ascii="Arial Narrow" w:hAnsi="Arial Narrow" w:cs="Arial"/>
          <w:sz w:val="24"/>
          <w:szCs w:val="24"/>
          <w:lang w:val="es-ES_tradnl"/>
        </w:rPr>
        <w:t xml:space="preserve"> 146. Disposiciones Particulares, y </w:t>
      </w:r>
    </w:p>
    <w:p w:rsidR="000D3657" w:rsidRPr="00CD728B" w:rsidRDefault="009D7771" w:rsidP="002E7D47">
      <w:pPr>
        <w:pStyle w:val="Prrafodelista"/>
        <w:numPr>
          <w:ilvl w:val="0"/>
          <w:numId w:val="29"/>
        </w:numPr>
        <w:spacing w:before="100" w:beforeAutospacing="1" w:after="100" w:afterAutospacing="1" w:line="360" w:lineRule="auto"/>
        <w:jc w:val="both"/>
        <w:rPr>
          <w:rFonts w:ascii="Arial Narrow" w:hAnsi="Arial Narrow" w:cs="Arial"/>
          <w:sz w:val="24"/>
          <w:szCs w:val="24"/>
          <w:lang w:val="es-ES_tradnl"/>
        </w:rPr>
      </w:pPr>
      <w:r>
        <w:rPr>
          <w:rFonts w:ascii="Arial Narrow" w:hAnsi="Arial Narrow" w:cs="Arial"/>
          <w:sz w:val="24"/>
          <w:szCs w:val="24"/>
          <w:lang w:val="es-ES_tradnl"/>
        </w:rPr>
        <w:t>Artículo</w:t>
      </w:r>
      <w:r w:rsidR="000D3657" w:rsidRPr="00CD728B">
        <w:rPr>
          <w:rFonts w:ascii="Arial Narrow" w:hAnsi="Arial Narrow" w:cs="Arial"/>
          <w:sz w:val="24"/>
          <w:szCs w:val="24"/>
          <w:lang w:val="es-ES_tradnl"/>
        </w:rPr>
        <w:t xml:space="preserve"> 147. Disposiciones Particulares.</w:t>
      </w:r>
    </w:p>
    <w:p w:rsidR="000D3657" w:rsidRPr="00CD728B" w:rsidRDefault="000D3657" w:rsidP="002E7D47">
      <w:pPr>
        <w:pStyle w:val="Ttulo2"/>
        <w:numPr>
          <w:ilvl w:val="1"/>
          <w:numId w:val="30"/>
        </w:numPr>
        <w:contextualSpacing/>
        <w:jc w:val="both"/>
        <w:rPr>
          <w:rFonts w:ascii="Arial Narrow" w:hAnsi="Arial Narrow"/>
          <w:b/>
          <w:color w:val="auto"/>
          <w:sz w:val="24"/>
          <w:szCs w:val="24"/>
        </w:rPr>
      </w:pPr>
      <w:bookmarkStart w:id="84" w:name="_Toc14293785"/>
      <w:r w:rsidRPr="00CD728B">
        <w:rPr>
          <w:rFonts w:ascii="Arial Narrow" w:hAnsi="Arial Narrow"/>
          <w:b/>
          <w:color w:val="auto"/>
          <w:sz w:val="24"/>
          <w:szCs w:val="24"/>
        </w:rPr>
        <w:t>Análisis global de cumplimiento de los Sindicatos</w:t>
      </w:r>
      <w:r w:rsidR="008D44C3" w:rsidRPr="00CD728B">
        <w:rPr>
          <w:rFonts w:ascii="Arial Narrow" w:hAnsi="Arial Narrow"/>
          <w:b/>
          <w:color w:val="auto"/>
          <w:sz w:val="24"/>
          <w:szCs w:val="24"/>
        </w:rPr>
        <w:t>.</w:t>
      </w:r>
      <w:bookmarkEnd w:id="84"/>
    </w:p>
    <w:p w:rsidR="008D44C3" w:rsidRPr="00CD728B" w:rsidRDefault="008D44C3" w:rsidP="008D44C3">
      <w:pPr>
        <w:rPr>
          <w:rFonts w:ascii="Arial Narrow" w:hAnsi="Arial Narrow"/>
        </w:rPr>
      </w:pPr>
    </w:p>
    <w:p w:rsidR="000D3657" w:rsidRPr="00CD728B" w:rsidRDefault="000D3657" w:rsidP="002E7D47">
      <w:pPr>
        <w:spacing w:before="100" w:beforeAutospacing="1" w:after="100" w:afterAutospacing="1" w:line="360" w:lineRule="auto"/>
        <w:contextualSpacing/>
        <w:jc w:val="both"/>
        <w:rPr>
          <w:rFonts w:ascii="Arial Narrow" w:hAnsi="Arial Narrow" w:cs="Arial"/>
          <w:sz w:val="24"/>
          <w:szCs w:val="24"/>
          <w:u w:val="single"/>
        </w:rPr>
      </w:pPr>
      <w:r w:rsidRPr="00CD728B">
        <w:rPr>
          <w:rFonts w:ascii="Arial Narrow" w:hAnsi="Arial Narrow" w:cs="Arial"/>
          <w:sz w:val="24"/>
          <w:szCs w:val="24"/>
          <w:u w:val="single"/>
        </w:rPr>
        <w:t xml:space="preserve">Índices Globales de Cumplimiento de las Obligaciones de Transparencia </w:t>
      </w:r>
    </w:p>
    <w:p w:rsidR="008D44C3" w:rsidRPr="00CD728B" w:rsidRDefault="008D44C3" w:rsidP="002E7D47">
      <w:pPr>
        <w:spacing w:before="100" w:beforeAutospacing="1" w:after="100" w:afterAutospacing="1" w:line="360" w:lineRule="auto"/>
        <w:contextualSpacing/>
        <w:jc w:val="both"/>
        <w:rPr>
          <w:rFonts w:ascii="Arial Narrow" w:hAnsi="Arial Narrow" w:cs="Arial"/>
          <w:sz w:val="24"/>
          <w:szCs w:val="24"/>
          <w:u w:val="single"/>
        </w:rPr>
      </w:pPr>
    </w:p>
    <w:p w:rsidR="000D3657" w:rsidRPr="00CD728B" w:rsidRDefault="000D3657"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Con relación al IGOT, la calificación más alta fue de 99.18 y la más baja de 7.50; obteniendo este ámbito de gobierno una calificación promedio de 24.81.</w:t>
      </w:r>
    </w:p>
    <w:p w:rsidR="008D44C3" w:rsidRPr="00CD728B" w:rsidRDefault="008D44C3" w:rsidP="002E7D47">
      <w:pPr>
        <w:spacing w:before="100" w:beforeAutospacing="1" w:after="100" w:afterAutospacing="1" w:line="360" w:lineRule="auto"/>
        <w:contextualSpacing/>
        <w:jc w:val="both"/>
        <w:rPr>
          <w:rFonts w:ascii="Arial Narrow" w:hAnsi="Arial Narrow" w:cs="Arial"/>
          <w:sz w:val="24"/>
          <w:szCs w:val="24"/>
        </w:rPr>
      </w:pPr>
    </w:p>
    <w:p w:rsidR="008D44C3" w:rsidRPr="00CD728B" w:rsidRDefault="000D3657"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Únicamente seis sindicatos realizaron las adecuaciones necesarias para conta</w:t>
      </w:r>
      <w:r w:rsidR="00273629">
        <w:rPr>
          <w:rFonts w:ascii="Arial Narrow" w:hAnsi="Arial Narrow" w:cs="Arial"/>
          <w:sz w:val="24"/>
          <w:szCs w:val="24"/>
        </w:rPr>
        <w:t>r con un portal de internet con</w:t>
      </w:r>
      <w:r w:rsidRPr="00CD728B">
        <w:rPr>
          <w:rFonts w:ascii="Arial Narrow" w:hAnsi="Arial Narrow" w:cs="Arial"/>
          <w:sz w:val="24"/>
          <w:szCs w:val="24"/>
        </w:rPr>
        <w:t xml:space="preserve"> la sección de transparencia. Tres</w:t>
      </w:r>
      <w:r w:rsidRPr="00CD728B">
        <w:rPr>
          <w:rStyle w:val="Refdenotaalpie"/>
          <w:rFonts w:ascii="Arial Narrow" w:hAnsi="Arial Narrow" w:cs="Arial"/>
          <w:sz w:val="24"/>
          <w:szCs w:val="24"/>
        </w:rPr>
        <w:footnoteReference w:id="65"/>
      </w:r>
      <w:r w:rsidRPr="00CD728B">
        <w:rPr>
          <w:rFonts w:ascii="Arial Narrow" w:hAnsi="Arial Narrow" w:cs="Arial"/>
          <w:sz w:val="24"/>
          <w:szCs w:val="24"/>
        </w:rPr>
        <w:t xml:space="preserve"> se encuentran dentro del rubro de cumplimiento parcial con una calificación  entre 84.55 y 99.18 y 18</w:t>
      </w:r>
      <w:r w:rsidRPr="00CD728B">
        <w:rPr>
          <w:rStyle w:val="Refdenotaalpie"/>
          <w:rFonts w:ascii="Arial Narrow" w:hAnsi="Arial Narrow" w:cs="Arial"/>
          <w:sz w:val="24"/>
          <w:szCs w:val="24"/>
        </w:rPr>
        <w:footnoteReference w:id="66"/>
      </w:r>
      <w:r w:rsidRPr="00CD728B">
        <w:rPr>
          <w:rFonts w:ascii="Arial Narrow" w:hAnsi="Arial Narrow" w:cs="Arial"/>
          <w:sz w:val="24"/>
          <w:szCs w:val="24"/>
        </w:rPr>
        <w:t xml:space="preserve"> con incumplimiento parcial, entre 29.46 y 58.6.</w:t>
      </w:r>
    </w:p>
    <w:p w:rsidR="008D44C3" w:rsidRPr="00CD728B" w:rsidRDefault="008D44C3" w:rsidP="002E7D47">
      <w:pPr>
        <w:spacing w:before="100" w:beforeAutospacing="1" w:after="100" w:afterAutospacing="1" w:line="360" w:lineRule="auto"/>
        <w:contextualSpacing/>
        <w:jc w:val="both"/>
        <w:rPr>
          <w:rFonts w:ascii="Arial Narrow" w:hAnsi="Arial Narrow" w:cs="Arial"/>
          <w:sz w:val="24"/>
          <w:szCs w:val="24"/>
        </w:rPr>
      </w:pPr>
    </w:p>
    <w:p w:rsidR="000D3657" w:rsidRPr="00CD728B" w:rsidRDefault="000D3657"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lastRenderedPageBreak/>
        <w:t xml:space="preserve">En este ámbito, existe un grado de cumplimiento de 24.81% en lo que respecta a la publicación general de la información, 26.26% en la PNT y un 24.28% en los portales institucionales de los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w:t>
      </w:r>
    </w:p>
    <w:p w:rsidR="008D44C3" w:rsidRPr="00CD728B" w:rsidRDefault="008D44C3" w:rsidP="002E7D47">
      <w:pPr>
        <w:spacing w:before="100" w:beforeAutospacing="1" w:after="100" w:afterAutospacing="1" w:line="360" w:lineRule="auto"/>
        <w:contextualSpacing/>
        <w:jc w:val="both"/>
        <w:rPr>
          <w:rFonts w:ascii="Arial Narrow" w:hAnsi="Arial Narrow" w:cs="Arial"/>
          <w:sz w:val="24"/>
          <w:szCs w:val="24"/>
        </w:rPr>
      </w:pPr>
    </w:p>
    <w:p w:rsidR="000D3657" w:rsidRPr="00CD728B" w:rsidRDefault="000D3657" w:rsidP="002E7D47">
      <w:pPr>
        <w:spacing w:before="100" w:beforeAutospacing="1" w:after="100" w:afterAutospacing="1" w:line="360" w:lineRule="auto"/>
        <w:contextualSpacing/>
        <w:jc w:val="both"/>
        <w:rPr>
          <w:rFonts w:ascii="Arial Narrow" w:hAnsi="Arial Narrow" w:cs="Arial"/>
          <w:sz w:val="24"/>
          <w:szCs w:val="24"/>
          <w:u w:val="single"/>
        </w:rPr>
      </w:pPr>
      <w:r w:rsidRPr="00CD728B">
        <w:rPr>
          <w:rFonts w:ascii="Arial Narrow" w:hAnsi="Arial Narrow" w:cs="Arial"/>
          <w:sz w:val="24"/>
          <w:szCs w:val="24"/>
          <w:u w:val="single"/>
        </w:rPr>
        <w:t xml:space="preserve">Cumplimiento diferenciado por </w:t>
      </w:r>
      <w:r w:rsidR="009D7771">
        <w:rPr>
          <w:rFonts w:ascii="Arial Narrow" w:hAnsi="Arial Narrow" w:cs="Arial"/>
          <w:sz w:val="24"/>
          <w:szCs w:val="24"/>
          <w:u w:val="single"/>
        </w:rPr>
        <w:t>Artículo</w:t>
      </w:r>
      <w:r w:rsidRPr="00CD728B">
        <w:rPr>
          <w:rFonts w:ascii="Arial Narrow" w:hAnsi="Arial Narrow" w:cs="Arial"/>
          <w:sz w:val="24"/>
          <w:szCs w:val="24"/>
          <w:u w:val="single"/>
        </w:rPr>
        <w:t xml:space="preserve">s </w:t>
      </w:r>
    </w:p>
    <w:p w:rsidR="008D44C3" w:rsidRPr="00CD728B" w:rsidRDefault="008D44C3" w:rsidP="002E7D47">
      <w:pPr>
        <w:spacing w:before="100" w:beforeAutospacing="1" w:after="100" w:afterAutospacing="1" w:line="360" w:lineRule="auto"/>
        <w:contextualSpacing/>
        <w:jc w:val="both"/>
        <w:rPr>
          <w:rFonts w:ascii="Arial Narrow" w:hAnsi="Arial Narrow" w:cs="Arial"/>
          <w:sz w:val="24"/>
          <w:szCs w:val="24"/>
          <w:u w:val="single"/>
        </w:rPr>
      </w:pPr>
    </w:p>
    <w:p w:rsidR="000D3657" w:rsidRPr="00CD728B" w:rsidRDefault="000D3657"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Con relación al tipo de obligaciones de transparencia, este ámbito de gobierno ha incumplido parcialmente en la publicación y actualización de sus obligaciones comunes, específicas y disposiciones particulares; obteniendo en las tres un promedio de cumplimiento entre el 18.09% y 32.03%.</w:t>
      </w:r>
    </w:p>
    <w:p w:rsidR="008D44C3" w:rsidRPr="00CD728B" w:rsidRDefault="008D44C3" w:rsidP="002E7D47">
      <w:pPr>
        <w:spacing w:before="100" w:beforeAutospacing="1" w:after="100" w:afterAutospacing="1" w:line="360" w:lineRule="auto"/>
        <w:contextualSpacing/>
        <w:jc w:val="both"/>
        <w:rPr>
          <w:rFonts w:ascii="Arial Narrow" w:hAnsi="Arial Narrow" w:cs="Arial"/>
          <w:sz w:val="24"/>
          <w:szCs w:val="24"/>
        </w:rPr>
      </w:pPr>
    </w:p>
    <w:p w:rsidR="000D3657" w:rsidRPr="00CD728B" w:rsidRDefault="000D3657"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 xml:space="preserve">En esta misma línea, el </w:t>
      </w:r>
      <w:r w:rsidR="009D7771">
        <w:rPr>
          <w:rFonts w:ascii="Arial Narrow" w:hAnsi="Arial Narrow" w:cs="Arial"/>
          <w:sz w:val="24"/>
          <w:szCs w:val="24"/>
        </w:rPr>
        <w:t>Artículo</w:t>
      </w:r>
      <w:r w:rsidRPr="00CD728B">
        <w:rPr>
          <w:rFonts w:ascii="Arial Narrow" w:hAnsi="Arial Narrow" w:cs="Arial"/>
          <w:sz w:val="24"/>
          <w:szCs w:val="24"/>
        </w:rPr>
        <w:t xml:space="preserve"> 145 tuvo un ICP de 27.38%, el 138 de 21.05%, el 137 de 19.90%, el 146 de 18.70%, el 121 alcanzó un ICP de 18.09%, y por último, el 147 incumplió parcialmente con un ICP de 14.29%. </w:t>
      </w:r>
    </w:p>
    <w:p w:rsidR="000D3657" w:rsidRPr="00CD728B" w:rsidRDefault="000D3657" w:rsidP="002E7D47">
      <w:pPr>
        <w:pStyle w:val="Ttulo2"/>
        <w:numPr>
          <w:ilvl w:val="1"/>
          <w:numId w:val="30"/>
        </w:numPr>
        <w:contextualSpacing/>
        <w:jc w:val="both"/>
        <w:rPr>
          <w:rFonts w:ascii="Arial Narrow" w:hAnsi="Arial Narrow"/>
          <w:b/>
          <w:color w:val="auto"/>
          <w:sz w:val="24"/>
          <w:szCs w:val="24"/>
        </w:rPr>
      </w:pPr>
      <w:bookmarkStart w:id="85" w:name="_Toc14293786"/>
      <w:r w:rsidRPr="00CD728B">
        <w:rPr>
          <w:rFonts w:ascii="Arial Narrow" w:hAnsi="Arial Narrow"/>
          <w:b/>
          <w:color w:val="auto"/>
          <w:sz w:val="24"/>
          <w:szCs w:val="24"/>
        </w:rPr>
        <w:t xml:space="preserve">Análisis del </w:t>
      </w:r>
      <w:r w:rsidR="009D7771">
        <w:rPr>
          <w:rFonts w:ascii="Arial Narrow" w:hAnsi="Arial Narrow"/>
          <w:b/>
          <w:color w:val="auto"/>
          <w:sz w:val="24"/>
          <w:szCs w:val="24"/>
        </w:rPr>
        <w:t>Artículo</w:t>
      </w:r>
      <w:r w:rsidRPr="00CD728B">
        <w:rPr>
          <w:rFonts w:ascii="Arial Narrow" w:hAnsi="Arial Narrow"/>
          <w:b/>
          <w:color w:val="auto"/>
          <w:sz w:val="24"/>
          <w:szCs w:val="24"/>
        </w:rPr>
        <w:t xml:space="preserve"> 121 y sus respectivas fracciones</w:t>
      </w:r>
      <w:bookmarkEnd w:id="85"/>
    </w:p>
    <w:p w:rsidR="000D3657" w:rsidRPr="00CD728B" w:rsidRDefault="000D3657" w:rsidP="002E7D47">
      <w:pPr>
        <w:spacing w:before="100" w:beforeAutospacing="1" w:after="100" w:afterAutospacing="1" w:line="360" w:lineRule="auto"/>
        <w:contextualSpacing/>
        <w:jc w:val="both"/>
        <w:rPr>
          <w:rFonts w:ascii="Arial Narrow" w:hAnsi="Arial Narrow" w:cs="Arial"/>
          <w:b/>
          <w:bCs/>
          <w:sz w:val="24"/>
          <w:szCs w:val="24"/>
        </w:rPr>
      </w:pPr>
      <w:r w:rsidRPr="00CD728B">
        <w:rPr>
          <w:rFonts w:ascii="Arial Narrow" w:hAnsi="Arial Narrow" w:cs="Arial"/>
          <w:b/>
          <w:bCs/>
          <w:noProof/>
          <w:sz w:val="24"/>
          <w:szCs w:val="24"/>
          <w:lang w:val="es-MX" w:eastAsia="es-MX"/>
        </w:rPr>
        <w:drawing>
          <wp:inline distT="0" distB="0" distL="0" distR="0" wp14:anchorId="59FA77DA" wp14:editId="78D4C2CE">
            <wp:extent cx="5612130" cy="2862470"/>
            <wp:effectExtent l="0" t="0" r="762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WhatsApp Image 2019-07-02 at 5.52.33 PM.jpeg"/>
                    <pic:cNvPicPr/>
                  </pic:nvPicPr>
                  <pic:blipFill>
                    <a:blip r:embed="rId40">
                      <a:extLst>
                        <a:ext uri="{28A0092B-C50C-407E-A947-70E740481C1C}">
                          <a14:useLocalDpi xmlns:a14="http://schemas.microsoft.com/office/drawing/2010/main" val="0"/>
                        </a:ext>
                      </a:extLst>
                    </a:blip>
                    <a:stretch>
                      <a:fillRect/>
                    </a:stretch>
                  </pic:blipFill>
                  <pic:spPr>
                    <a:xfrm>
                      <a:off x="0" y="0"/>
                      <a:ext cx="5614852" cy="2863858"/>
                    </a:xfrm>
                    <a:prstGeom prst="rect">
                      <a:avLst/>
                    </a:prstGeom>
                  </pic:spPr>
                </pic:pic>
              </a:graphicData>
            </a:graphic>
          </wp:inline>
        </w:drawing>
      </w:r>
    </w:p>
    <w:p w:rsidR="000D3657" w:rsidRPr="00CD728B" w:rsidRDefault="000D3657"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lastRenderedPageBreak/>
        <w:t xml:space="preserve">Los sindicatos obtuvieron un ICP en este </w:t>
      </w:r>
      <w:r w:rsidR="009D7771">
        <w:rPr>
          <w:rFonts w:ascii="Arial Narrow" w:hAnsi="Arial Narrow" w:cs="Arial"/>
          <w:sz w:val="24"/>
          <w:szCs w:val="24"/>
        </w:rPr>
        <w:t>Artículo</w:t>
      </w:r>
      <w:r w:rsidRPr="00CD728B">
        <w:rPr>
          <w:rFonts w:ascii="Arial Narrow" w:hAnsi="Arial Narrow" w:cs="Arial"/>
          <w:sz w:val="24"/>
          <w:szCs w:val="24"/>
        </w:rPr>
        <w:t xml:space="preserve"> de 18.09%; por lo que se encuentra dentro del área de incumplimiento parcial. Lo anterior se debió a que 15</w:t>
      </w:r>
      <w:r w:rsidRPr="00CD728B">
        <w:rPr>
          <w:rStyle w:val="Refdenotaalpie"/>
          <w:rFonts w:ascii="Arial Narrow" w:hAnsi="Arial Narrow" w:cs="Arial"/>
          <w:sz w:val="24"/>
          <w:szCs w:val="24"/>
        </w:rPr>
        <w:footnoteReference w:id="67"/>
      </w:r>
      <w:r w:rsidRPr="00CD728B">
        <w:rPr>
          <w:rFonts w:ascii="Arial Narrow" w:hAnsi="Arial Narrow" w:cs="Arial"/>
          <w:sz w:val="24"/>
          <w:szCs w:val="24"/>
        </w:rPr>
        <w:t xml:space="preserve">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no publicaron ni actualizaron su información en la PNT, ni crearon una sección de transparencia dentro de sus portales institucionales. </w:t>
      </w:r>
    </w:p>
    <w:p w:rsidR="008D44C3" w:rsidRPr="00CD728B" w:rsidRDefault="008D44C3" w:rsidP="002E7D47">
      <w:pPr>
        <w:spacing w:before="100" w:beforeAutospacing="1" w:after="100" w:afterAutospacing="1" w:line="360" w:lineRule="auto"/>
        <w:contextualSpacing/>
        <w:jc w:val="both"/>
        <w:rPr>
          <w:rFonts w:ascii="Arial Narrow" w:hAnsi="Arial Narrow" w:cs="Arial"/>
          <w:sz w:val="24"/>
          <w:szCs w:val="24"/>
        </w:rPr>
      </w:pPr>
    </w:p>
    <w:p w:rsidR="008D44C3" w:rsidRPr="00CD728B" w:rsidRDefault="000D3657"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 xml:space="preserve">Respecto de los seis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que publicaron y actualizaron su información, tres</w:t>
      </w:r>
      <w:r w:rsidRPr="00CD728B">
        <w:rPr>
          <w:rStyle w:val="Refdenotaalpie"/>
          <w:rFonts w:ascii="Arial Narrow" w:hAnsi="Arial Narrow" w:cs="Arial"/>
          <w:sz w:val="24"/>
          <w:szCs w:val="24"/>
        </w:rPr>
        <w:footnoteReference w:id="68"/>
      </w:r>
      <w:r w:rsidRPr="00CD728B">
        <w:rPr>
          <w:rFonts w:ascii="Arial Narrow" w:hAnsi="Arial Narrow" w:cs="Arial"/>
          <w:sz w:val="24"/>
          <w:szCs w:val="24"/>
        </w:rPr>
        <w:t xml:space="preserve"> tienen un cumplimiento parcial entre 84.20% y 99.41% y tres</w:t>
      </w:r>
      <w:r w:rsidRPr="00CD728B">
        <w:rPr>
          <w:rStyle w:val="Refdenotaalpie"/>
          <w:rFonts w:ascii="Arial Narrow" w:hAnsi="Arial Narrow" w:cs="Arial"/>
          <w:sz w:val="24"/>
          <w:szCs w:val="24"/>
        </w:rPr>
        <w:footnoteReference w:id="69"/>
      </w:r>
      <w:r w:rsidRPr="00CD728B">
        <w:rPr>
          <w:rFonts w:ascii="Arial Narrow" w:hAnsi="Arial Narrow" w:cs="Arial"/>
          <w:sz w:val="24"/>
          <w:szCs w:val="24"/>
        </w:rPr>
        <w:t xml:space="preserve"> incumplimiento parcial entre 18.93% y 49.77%. En esta línea, de las 18 fracciones que le son aplicables; las cinco que tienen mayor área de oportunidad son las siguientes: </w:t>
      </w:r>
    </w:p>
    <w:p w:rsidR="000D3657" w:rsidRPr="00CD728B" w:rsidRDefault="000D3657" w:rsidP="002E7D47">
      <w:pPr>
        <w:pStyle w:val="Prrafodelista"/>
        <w:numPr>
          <w:ilvl w:val="0"/>
          <w:numId w:val="2"/>
        </w:numPr>
        <w:spacing w:before="100" w:beforeAutospacing="1" w:after="100" w:afterAutospacing="1" w:line="360" w:lineRule="auto"/>
        <w:jc w:val="both"/>
        <w:rPr>
          <w:rFonts w:ascii="Arial Narrow" w:hAnsi="Arial Narrow" w:cs="Arial"/>
          <w:sz w:val="24"/>
          <w:szCs w:val="24"/>
        </w:rPr>
      </w:pPr>
      <w:r w:rsidRPr="00CD728B">
        <w:rPr>
          <w:rFonts w:ascii="Arial Narrow" w:hAnsi="Arial Narrow" w:cs="Arial"/>
          <w:sz w:val="24"/>
          <w:szCs w:val="24"/>
        </w:rPr>
        <w:t xml:space="preserve">Fracción LII, con un ICP de 14.55% en la cual se solicita publicar cualquier otra información que sea de utilidad o se considere relevante, para el conocimiento y evaluación de las funciones y políticas públicas que son responsabilidad del </w:t>
      </w:r>
      <w:r w:rsidR="005A4A11" w:rsidRPr="00CD728B">
        <w:rPr>
          <w:rFonts w:ascii="Arial Narrow" w:hAnsi="Arial Narrow" w:cs="Arial"/>
          <w:sz w:val="24"/>
          <w:szCs w:val="24"/>
        </w:rPr>
        <w:t>Sujeto Obligado</w:t>
      </w:r>
      <w:r w:rsidRPr="00CD728B">
        <w:rPr>
          <w:rFonts w:ascii="Arial Narrow" w:hAnsi="Arial Narrow" w:cs="Arial"/>
          <w:sz w:val="24"/>
          <w:szCs w:val="24"/>
        </w:rPr>
        <w:t xml:space="preserve"> además de las que, con base en la información estadística, responda a las preguntas hechas con más frecuencia por el público. Los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no actualizaron la información conforme indica la normatividad vigente; por lo que no se puede consultar.</w:t>
      </w:r>
    </w:p>
    <w:p w:rsidR="008D44C3" w:rsidRPr="00CD728B" w:rsidRDefault="008D44C3" w:rsidP="008D44C3">
      <w:pPr>
        <w:pStyle w:val="Prrafodelista"/>
        <w:spacing w:before="100" w:beforeAutospacing="1" w:after="100" w:afterAutospacing="1" w:line="360" w:lineRule="auto"/>
        <w:jc w:val="both"/>
        <w:rPr>
          <w:rFonts w:ascii="Arial Narrow" w:hAnsi="Arial Narrow" w:cs="Arial"/>
          <w:sz w:val="24"/>
          <w:szCs w:val="24"/>
        </w:rPr>
      </w:pPr>
    </w:p>
    <w:p w:rsidR="008D44C3" w:rsidRPr="00CD728B" w:rsidRDefault="000D3657" w:rsidP="008D44C3">
      <w:pPr>
        <w:pStyle w:val="Prrafodelista"/>
        <w:numPr>
          <w:ilvl w:val="0"/>
          <w:numId w:val="2"/>
        </w:numPr>
        <w:spacing w:before="100" w:beforeAutospacing="1" w:after="100" w:afterAutospacing="1" w:line="360" w:lineRule="auto"/>
        <w:jc w:val="both"/>
        <w:rPr>
          <w:rFonts w:ascii="Arial Narrow" w:hAnsi="Arial Narrow" w:cs="Arial"/>
          <w:sz w:val="24"/>
          <w:szCs w:val="24"/>
        </w:rPr>
      </w:pPr>
      <w:r w:rsidRPr="00CD728B">
        <w:rPr>
          <w:rFonts w:ascii="Arial Narrow" w:hAnsi="Arial Narrow" w:cs="Arial"/>
          <w:sz w:val="24"/>
          <w:szCs w:val="24"/>
        </w:rPr>
        <w:t xml:space="preserve">Fracción XXXI, con un ICP de 15.87% que hace referencia a la publicación de los informes que por disposición legal debe rendir el </w:t>
      </w:r>
      <w:r w:rsidR="005A4A11" w:rsidRPr="00CD728B">
        <w:rPr>
          <w:rFonts w:ascii="Arial Narrow" w:hAnsi="Arial Narrow" w:cs="Arial"/>
          <w:sz w:val="24"/>
          <w:szCs w:val="24"/>
        </w:rPr>
        <w:t>Sujeto Obligado</w:t>
      </w:r>
      <w:r w:rsidRPr="00CD728B">
        <w:rPr>
          <w:rFonts w:ascii="Arial Narrow" w:hAnsi="Arial Narrow" w:cs="Arial"/>
          <w:sz w:val="24"/>
          <w:szCs w:val="24"/>
        </w:rPr>
        <w:t xml:space="preserve">, la unidad responsable de los mismos, </w:t>
      </w:r>
      <w:r w:rsidRPr="00CD728B">
        <w:rPr>
          <w:rFonts w:ascii="Arial Narrow" w:hAnsi="Arial Narrow" w:cs="Arial"/>
          <w:sz w:val="24"/>
          <w:szCs w:val="24"/>
        </w:rPr>
        <w:lastRenderedPageBreak/>
        <w:t xml:space="preserve">el fundamento legal que obliga a su generación, así como su calendario de publicación. Los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no actualizaron la información conforme indica la normatividad vigente o en algunos casos no la publicaron; por lo que no se encuentra la información para consulta. </w:t>
      </w:r>
    </w:p>
    <w:p w:rsidR="008D44C3" w:rsidRPr="00CD728B" w:rsidRDefault="008D44C3" w:rsidP="008D44C3">
      <w:pPr>
        <w:pStyle w:val="Prrafodelista"/>
        <w:spacing w:before="100" w:beforeAutospacing="1" w:after="100" w:afterAutospacing="1" w:line="360" w:lineRule="auto"/>
        <w:jc w:val="both"/>
        <w:rPr>
          <w:rFonts w:ascii="Arial Narrow" w:hAnsi="Arial Narrow" w:cs="Arial"/>
          <w:sz w:val="24"/>
          <w:szCs w:val="24"/>
        </w:rPr>
      </w:pPr>
    </w:p>
    <w:p w:rsidR="008D44C3" w:rsidRPr="00CD728B" w:rsidRDefault="000D3657" w:rsidP="008D44C3">
      <w:pPr>
        <w:pStyle w:val="Prrafodelista"/>
        <w:numPr>
          <w:ilvl w:val="0"/>
          <w:numId w:val="2"/>
        </w:numPr>
        <w:spacing w:before="100" w:beforeAutospacing="1" w:after="100" w:afterAutospacing="1" w:line="360" w:lineRule="auto"/>
        <w:jc w:val="both"/>
        <w:rPr>
          <w:rFonts w:ascii="Arial Narrow" w:hAnsi="Arial Narrow" w:cs="Arial"/>
          <w:sz w:val="24"/>
          <w:szCs w:val="24"/>
        </w:rPr>
      </w:pPr>
      <w:r w:rsidRPr="00CD728B">
        <w:rPr>
          <w:rFonts w:ascii="Arial Narrow" w:hAnsi="Arial Narrow" w:cs="Arial"/>
          <w:sz w:val="24"/>
          <w:szCs w:val="24"/>
        </w:rPr>
        <w:t xml:space="preserve">Fracción XLIX, con un ICP de 15.87%, que establece la publicación del catálogo de disposición y guía de archivo documental. Los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no actualizaron la información conforme indica la normatividad vigente. Por otra parte, en algunos casos señalan que no se generó información, sin embargo, no motivan, ni fundamentan.</w:t>
      </w:r>
    </w:p>
    <w:p w:rsidR="008D44C3" w:rsidRPr="00CD728B" w:rsidRDefault="008D44C3" w:rsidP="008D44C3">
      <w:pPr>
        <w:pStyle w:val="Prrafodelista"/>
        <w:spacing w:before="100" w:beforeAutospacing="1" w:after="100" w:afterAutospacing="1" w:line="360" w:lineRule="auto"/>
        <w:jc w:val="both"/>
        <w:rPr>
          <w:rFonts w:ascii="Arial Narrow" w:hAnsi="Arial Narrow" w:cs="Arial"/>
          <w:sz w:val="24"/>
          <w:szCs w:val="24"/>
        </w:rPr>
      </w:pPr>
    </w:p>
    <w:p w:rsidR="008D44C3" w:rsidRPr="00CD728B" w:rsidRDefault="000D3657" w:rsidP="008D44C3">
      <w:pPr>
        <w:pStyle w:val="Prrafodelista"/>
        <w:numPr>
          <w:ilvl w:val="0"/>
          <w:numId w:val="2"/>
        </w:numPr>
        <w:spacing w:before="100" w:beforeAutospacing="1" w:after="100" w:afterAutospacing="1" w:line="360" w:lineRule="auto"/>
        <w:jc w:val="both"/>
        <w:rPr>
          <w:rFonts w:ascii="Arial Narrow" w:hAnsi="Arial Narrow" w:cs="Arial"/>
          <w:sz w:val="24"/>
          <w:szCs w:val="24"/>
        </w:rPr>
      </w:pPr>
      <w:r w:rsidRPr="00CD728B">
        <w:rPr>
          <w:rFonts w:ascii="Arial Narrow" w:hAnsi="Arial Narrow" w:cs="Arial"/>
          <w:sz w:val="24"/>
          <w:szCs w:val="24"/>
        </w:rPr>
        <w:t xml:space="preserve">Fracción XXXII, con un ICP de 16.67%, misma que señala la publicación de las estadísticas que generan en cumplimiento de sus facultades, competencias o funciones con la mayor desagregación posible. Los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no actualizaron la información conforme indica la normatividad vigente y en algunos casos no la publicaron. Por otra parte, señalan que la fracción se encuentra en proceso de creación, sin embargo, se debe actualizar conforme a la normatividad correspondiente y en su caso motivar y fundamentar las razones por las cuáles en ciertos periodos no se generó.</w:t>
      </w:r>
    </w:p>
    <w:p w:rsidR="008D44C3" w:rsidRPr="00CD728B" w:rsidRDefault="008D44C3" w:rsidP="008D44C3">
      <w:pPr>
        <w:pStyle w:val="Prrafodelista"/>
        <w:spacing w:before="100" w:beforeAutospacing="1" w:after="100" w:afterAutospacing="1" w:line="360" w:lineRule="auto"/>
        <w:jc w:val="both"/>
        <w:rPr>
          <w:rFonts w:ascii="Arial Narrow" w:hAnsi="Arial Narrow" w:cs="Arial"/>
          <w:sz w:val="24"/>
          <w:szCs w:val="24"/>
        </w:rPr>
      </w:pPr>
    </w:p>
    <w:p w:rsidR="008D44C3" w:rsidRPr="00CD728B" w:rsidRDefault="000D3657" w:rsidP="008D44C3">
      <w:pPr>
        <w:pStyle w:val="Prrafodelista"/>
        <w:numPr>
          <w:ilvl w:val="0"/>
          <w:numId w:val="2"/>
        </w:numPr>
        <w:spacing w:before="100" w:beforeAutospacing="1" w:after="100" w:afterAutospacing="1" w:line="360" w:lineRule="auto"/>
        <w:jc w:val="both"/>
        <w:rPr>
          <w:rFonts w:ascii="Arial Narrow" w:hAnsi="Arial Narrow" w:cs="Arial"/>
          <w:sz w:val="24"/>
          <w:szCs w:val="24"/>
        </w:rPr>
      </w:pPr>
      <w:r w:rsidRPr="00CD728B">
        <w:rPr>
          <w:rFonts w:ascii="Arial Narrow" w:hAnsi="Arial Narrow" w:cs="Arial"/>
          <w:sz w:val="24"/>
          <w:szCs w:val="24"/>
        </w:rPr>
        <w:t>Fracción XXXVIII</w:t>
      </w:r>
      <w:r w:rsidR="00273629">
        <w:rPr>
          <w:rFonts w:ascii="Arial Narrow" w:hAnsi="Arial Narrow" w:cs="Arial"/>
          <w:sz w:val="24"/>
          <w:szCs w:val="24"/>
        </w:rPr>
        <w:t>,</w:t>
      </w:r>
      <w:r w:rsidRPr="00CD728B">
        <w:rPr>
          <w:rFonts w:ascii="Arial Narrow" w:hAnsi="Arial Narrow" w:cs="Arial"/>
          <w:sz w:val="24"/>
          <w:szCs w:val="24"/>
        </w:rPr>
        <w:t xml:space="preserve"> con un ICP de 17.86%, que señala la obligación de publicar la relación de recomendaciones emitidas por el Instituto al </w:t>
      </w:r>
      <w:r w:rsidR="005A4A11" w:rsidRPr="00CD728B">
        <w:rPr>
          <w:rFonts w:ascii="Arial Narrow" w:hAnsi="Arial Narrow" w:cs="Arial"/>
          <w:sz w:val="24"/>
          <w:szCs w:val="24"/>
        </w:rPr>
        <w:t>Sujeto Obligado</w:t>
      </w:r>
      <w:r w:rsidRPr="00CD728B">
        <w:rPr>
          <w:rFonts w:ascii="Arial Narrow" w:hAnsi="Arial Narrow" w:cs="Arial"/>
          <w:sz w:val="24"/>
          <w:szCs w:val="24"/>
        </w:rPr>
        <w:t xml:space="preserve">, y el seguimiento a cada una de ellas. Los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no actualizaron la información conforme indica la normatividad vigente y en algunos casos aunque reportan información del 2019, la periodicidad indicada en los lineamientos menciona que se debe actualizar de manera semestral,  por lo que deben de publicar la información al segundo semestre del año 2018. Por otra parte, en algunos casos señalan que no se generó información, sin embargo, no motivan ni fundamentan.</w:t>
      </w:r>
    </w:p>
    <w:p w:rsidR="008D44C3" w:rsidRPr="00CD728B" w:rsidRDefault="008D44C3" w:rsidP="008D44C3">
      <w:pPr>
        <w:pStyle w:val="Prrafodelista"/>
        <w:spacing w:before="100" w:beforeAutospacing="1" w:after="100" w:afterAutospacing="1" w:line="360" w:lineRule="auto"/>
        <w:jc w:val="both"/>
        <w:rPr>
          <w:rFonts w:ascii="Arial Narrow" w:hAnsi="Arial Narrow" w:cs="Arial"/>
          <w:sz w:val="24"/>
          <w:szCs w:val="24"/>
        </w:rPr>
      </w:pPr>
    </w:p>
    <w:p w:rsidR="000D3657" w:rsidRPr="00CD728B" w:rsidRDefault="000D3657" w:rsidP="002E7D47">
      <w:pPr>
        <w:pStyle w:val="Ttulo2"/>
        <w:numPr>
          <w:ilvl w:val="1"/>
          <w:numId w:val="30"/>
        </w:numPr>
        <w:contextualSpacing/>
        <w:jc w:val="both"/>
        <w:rPr>
          <w:rFonts w:ascii="Arial Narrow" w:hAnsi="Arial Narrow"/>
          <w:b/>
          <w:color w:val="auto"/>
          <w:sz w:val="24"/>
          <w:szCs w:val="24"/>
        </w:rPr>
      </w:pPr>
      <w:bookmarkStart w:id="86" w:name="_Toc14293787"/>
      <w:r w:rsidRPr="00CD728B">
        <w:rPr>
          <w:rFonts w:ascii="Arial Narrow" w:hAnsi="Arial Narrow"/>
          <w:b/>
          <w:color w:val="auto"/>
          <w:sz w:val="24"/>
          <w:szCs w:val="24"/>
        </w:rPr>
        <w:lastRenderedPageBreak/>
        <w:t xml:space="preserve">Análisis del </w:t>
      </w:r>
      <w:r w:rsidR="009D7771">
        <w:rPr>
          <w:rFonts w:ascii="Arial Narrow" w:hAnsi="Arial Narrow"/>
          <w:b/>
          <w:color w:val="auto"/>
          <w:sz w:val="24"/>
          <w:szCs w:val="24"/>
        </w:rPr>
        <w:t>Artículo</w:t>
      </w:r>
      <w:r w:rsidRPr="00CD728B">
        <w:rPr>
          <w:rFonts w:ascii="Arial Narrow" w:hAnsi="Arial Narrow"/>
          <w:b/>
          <w:color w:val="auto"/>
          <w:sz w:val="24"/>
          <w:szCs w:val="24"/>
        </w:rPr>
        <w:t xml:space="preserve"> 137 y sus respectivas fracciones</w:t>
      </w:r>
      <w:bookmarkEnd w:id="86"/>
    </w:p>
    <w:p w:rsidR="000D3657" w:rsidRPr="00CD728B" w:rsidRDefault="000D3657" w:rsidP="002E7D47">
      <w:pPr>
        <w:spacing w:before="100" w:beforeAutospacing="1" w:after="100" w:afterAutospacing="1" w:line="360" w:lineRule="auto"/>
        <w:contextualSpacing/>
        <w:jc w:val="both"/>
        <w:rPr>
          <w:rFonts w:ascii="Arial Narrow" w:hAnsi="Arial Narrow" w:cs="Arial"/>
          <w:b/>
          <w:bCs/>
          <w:sz w:val="24"/>
          <w:szCs w:val="24"/>
        </w:rPr>
      </w:pPr>
      <w:r w:rsidRPr="00CD728B">
        <w:rPr>
          <w:rFonts w:ascii="Arial Narrow" w:hAnsi="Arial Narrow" w:cs="Arial"/>
          <w:b/>
          <w:bCs/>
          <w:noProof/>
          <w:sz w:val="24"/>
          <w:szCs w:val="24"/>
          <w:lang w:val="es-MX" w:eastAsia="es-MX"/>
        </w:rPr>
        <w:drawing>
          <wp:inline distT="0" distB="0" distL="0" distR="0" wp14:anchorId="15424629" wp14:editId="2A8A46F9">
            <wp:extent cx="5612130" cy="2385392"/>
            <wp:effectExtent l="0" t="0" r="762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WhatsApp Image 2019-07-02 at 5.53.40 PM.jpeg"/>
                    <pic:cNvPicPr/>
                  </pic:nvPicPr>
                  <pic:blipFill>
                    <a:blip r:embed="rId41">
                      <a:extLst>
                        <a:ext uri="{28A0092B-C50C-407E-A947-70E740481C1C}">
                          <a14:useLocalDpi xmlns:a14="http://schemas.microsoft.com/office/drawing/2010/main" val="0"/>
                        </a:ext>
                      </a:extLst>
                    </a:blip>
                    <a:stretch>
                      <a:fillRect/>
                    </a:stretch>
                  </pic:blipFill>
                  <pic:spPr>
                    <a:xfrm>
                      <a:off x="0" y="0"/>
                      <a:ext cx="5620074" cy="2388768"/>
                    </a:xfrm>
                    <a:prstGeom prst="rect">
                      <a:avLst/>
                    </a:prstGeom>
                  </pic:spPr>
                </pic:pic>
              </a:graphicData>
            </a:graphic>
          </wp:inline>
        </w:drawing>
      </w:r>
    </w:p>
    <w:p w:rsidR="008D44C3" w:rsidRPr="00CD728B" w:rsidRDefault="008D44C3" w:rsidP="002E7D47">
      <w:pPr>
        <w:spacing w:before="100" w:beforeAutospacing="1" w:after="100" w:afterAutospacing="1" w:line="360" w:lineRule="auto"/>
        <w:contextualSpacing/>
        <w:jc w:val="both"/>
        <w:rPr>
          <w:rFonts w:ascii="Arial Narrow" w:hAnsi="Arial Narrow" w:cs="Arial"/>
          <w:sz w:val="24"/>
          <w:szCs w:val="24"/>
        </w:rPr>
      </w:pPr>
    </w:p>
    <w:p w:rsidR="000D3657" w:rsidRPr="00CD728B" w:rsidRDefault="000D3657"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 xml:space="preserve">Los sindicatos obtuvieron un ICP en este </w:t>
      </w:r>
      <w:r w:rsidR="009D7771">
        <w:rPr>
          <w:rFonts w:ascii="Arial Narrow" w:hAnsi="Arial Narrow" w:cs="Arial"/>
          <w:sz w:val="24"/>
          <w:szCs w:val="24"/>
        </w:rPr>
        <w:t>Artículo</w:t>
      </w:r>
      <w:r w:rsidRPr="00CD728B">
        <w:rPr>
          <w:rFonts w:ascii="Arial Narrow" w:hAnsi="Arial Narrow" w:cs="Arial"/>
          <w:sz w:val="24"/>
          <w:szCs w:val="24"/>
        </w:rPr>
        <w:t xml:space="preserve"> de 19.90%; por lo que se encuentra dentro del área de incumplimiento parcial. Lo anterior se debió a que 15</w:t>
      </w:r>
      <w:r w:rsidRPr="00CD728B">
        <w:rPr>
          <w:rStyle w:val="Refdenotaalpie"/>
          <w:rFonts w:ascii="Arial Narrow" w:hAnsi="Arial Narrow" w:cs="Arial"/>
          <w:sz w:val="24"/>
          <w:szCs w:val="24"/>
        </w:rPr>
        <w:footnoteReference w:id="70"/>
      </w:r>
      <w:r w:rsidRPr="00CD728B">
        <w:rPr>
          <w:rFonts w:ascii="Arial Narrow" w:hAnsi="Arial Narrow" w:cs="Arial"/>
          <w:sz w:val="24"/>
          <w:szCs w:val="24"/>
        </w:rPr>
        <w:t xml:space="preserve">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no publicaron ni actualizaron su información en la PNT, ni crearon una sección de transparencia dentro de sus portales institucionales. </w:t>
      </w:r>
    </w:p>
    <w:p w:rsidR="008D44C3" w:rsidRPr="00CD728B" w:rsidRDefault="008D44C3" w:rsidP="002E7D47">
      <w:pPr>
        <w:spacing w:before="100" w:beforeAutospacing="1" w:after="100" w:afterAutospacing="1" w:line="360" w:lineRule="auto"/>
        <w:contextualSpacing/>
        <w:jc w:val="both"/>
        <w:rPr>
          <w:rFonts w:ascii="Arial Narrow" w:hAnsi="Arial Narrow" w:cs="Arial"/>
          <w:sz w:val="24"/>
          <w:szCs w:val="24"/>
        </w:rPr>
      </w:pPr>
    </w:p>
    <w:p w:rsidR="000D3657" w:rsidRPr="00CD728B" w:rsidRDefault="000D3657"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lastRenderedPageBreak/>
        <w:t xml:space="preserve">Respecto de los seis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que publicaron y actualizaron su información, cuatro</w:t>
      </w:r>
      <w:r w:rsidRPr="00CD728B">
        <w:rPr>
          <w:rStyle w:val="Refdenotaalpie"/>
          <w:rFonts w:ascii="Arial Narrow" w:hAnsi="Arial Narrow" w:cs="Arial"/>
          <w:sz w:val="24"/>
          <w:szCs w:val="24"/>
        </w:rPr>
        <w:footnoteReference w:id="71"/>
      </w:r>
      <w:r w:rsidRPr="00CD728B">
        <w:rPr>
          <w:rFonts w:ascii="Arial Narrow" w:hAnsi="Arial Narrow" w:cs="Arial"/>
          <w:sz w:val="24"/>
          <w:szCs w:val="24"/>
        </w:rPr>
        <w:t xml:space="preserve"> tienen un cumplimiento parcial entre 76.57% y 98.91% y dos</w:t>
      </w:r>
      <w:r w:rsidRPr="00CD728B">
        <w:rPr>
          <w:rStyle w:val="Refdenotaalpie"/>
          <w:rFonts w:ascii="Arial Narrow" w:hAnsi="Arial Narrow" w:cs="Arial"/>
          <w:sz w:val="24"/>
          <w:szCs w:val="24"/>
        </w:rPr>
        <w:footnoteReference w:id="72"/>
      </w:r>
      <w:r w:rsidRPr="00CD728B">
        <w:rPr>
          <w:rFonts w:ascii="Arial Narrow" w:hAnsi="Arial Narrow" w:cs="Arial"/>
          <w:sz w:val="24"/>
          <w:szCs w:val="24"/>
        </w:rPr>
        <w:t xml:space="preserve"> un incumplimiento parcial entre 24.32% y 43.70%. En esta línea, las tres fracciones que tiene</w:t>
      </w:r>
      <w:r w:rsidR="00F21221" w:rsidRPr="00CD728B">
        <w:rPr>
          <w:rFonts w:ascii="Arial Narrow" w:hAnsi="Arial Narrow" w:cs="Arial"/>
          <w:sz w:val="24"/>
          <w:szCs w:val="24"/>
        </w:rPr>
        <w:t>n</w:t>
      </w:r>
      <w:r w:rsidRPr="00CD728B">
        <w:rPr>
          <w:rFonts w:ascii="Arial Narrow" w:hAnsi="Arial Narrow" w:cs="Arial"/>
          <w:sz w:val="24"/>
          <w:szCs w:val="24"/>
        </w:rPr>
        <w:t xml:space="preserve"> mayor área de oportunidad son las siguientes: </w:t>
      </w:r>
    </w:p>
    <w:p w:rsidR="000D3657" w:rsidRPr="00CD728B" w:rsidRDefault="000D3657" w:rsidP="002E7D47">
      <w:pPr>
        <w:pStyle w:val="Prrafodelista"/>
        <w:numPr>
          <w:ilvl w:val="0"/>
          <w:numId w:val="2"/>
        </w:numPr>
        <w:spacing w:before="100" w:beforeAutospacing="1" w:after="100" w:afterAutospacing="1" w:line="360" w:lineRule="auto"/>
        <w:jc w:val="both"/>
        <w:rPr>
          <w:rFonts w:ascii="Arial Narrow" w:hAnsi="Arial Narrow" w:cs="Arial"/>
          <w:sz w:val="24"/>
          <w:szCs w:val="24"/>
        </w:rPr>
      </w:pPr>
      <w:r w:rsidRPr="00CD728B">
        <w:rPr>
          <w:rFonts w:ascii="Arial Narrow" w:hAnsi="Arial Narrow" w:cs="Arial"/>
          <w:sz w:val="24"/>
          <w:szCs w:val="24"/>
        </w:rPr>
        <w:t xml:space="preserve">Fracción X, con un ICP de 0%, en la cual se solicita publicar una lista con los nombres de los patrones, empresas, o establecimientos con los que se prestan servicios; los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no publicaron información, ni fundaron o motivaron las razones por las cuales no la reportan.</w:t>
      </w:r>
    </w:p>
    <w:p w:rsidR="008D44C3" w:rsidRPr="00CD728B" w:rsidRDefault="008D44C3" w:rsidP="008D44C3">
      <w:pPr>
        <w:pStyle w:val="Prrafodelista"/>
        <w:spacing w:before="100" w:beforeAutospacing="1" w:after="100" w:afterAutospacing="1" w:line="360" w:lineRule="auto"/>
        <w:jc w:val="both"/>
        <w:rPr>
          <w:rFonts w:ascii="Arial Narrow" w:hAnsi="Arial Narrow" w:cs="Arial"/>
          <w:sz w:val="24"/>
          <w:szCs w:val="24"/>
        </w:rPr>
      </w:pPr>
    </w:p>
    <w:p w:rsidR="008D44C3" w:rsidRPr="00CD728B" w:rsidRDefault="000D3657" w:rsidP="008D44C3">
      <w:pPr>
        <w:pStyle w:val="Prrafodelista"/>
        <w:numPr>
          <w:ilvl w:val="0"/>
          <w:numId w:val="2"/>
        </w:numPr>
        <w:spacing w:before="100" w:beforeAutospacing="1" w:after="100" w:afterAutospacing="1" w:line="360" w:lineRule="auto"/>
        <w:jc w:val="both"/>
        <w:rPr>
          <w:rFonts w:ascii="Arial Narrow" w:hAnsi="Arial Narrow" w:cs="Arial"/>
          <w:sz w:val="24"/>
          <w:szCs w:val="24"/>
        </w:rPr>
      </w:pPr>
      <w:r w:rsidRPr="00CD728B">
        <w:rPr>
          <w:rFonts w:ascii="Arial Narrow" w:hAnsi="Arial Narrow" w:cs="Arial"/>
          <w:sz w:val="24"/>
          <w:szCs w:val="24"/>
        </w:rPr>
        <w:t xml:space="preserve">Fracción IX, con un ICP de 14.17%, la cual hace referencia a la publicación de todos los documentos contenidos en el expediente del registro sindical y contratos colectivos de trabajo. Los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no actualizaron la información conforme indica la normatividad vigente, en otros casos no publicaron información y no fundan ni motivan las razones por las cuales no la reportan.</w:t>
      </w:r>
    </w:p>
    <w:p w:rsidR="008D44C3" w:rsidRPr="00CD728B" w:rsidRDefault="008D44C3" w:rsidP="008D44C3">
      <w:pPr>
        <w:pStyle w:val="Prrafodelista"/>
        <w:spacing w:before="100" w:beforeAutospacing="1" w:after="100" w:afterAutospacing="1" w:line="360" w:lineRule="auto"/>
        <w:jc w:val="both"/>
        <w:rPr>
          <w:rFonts w:ascii="Arial Narrow" w:hAnsi="Arial Narrow" w:cs="Arial"/>
          <w:sz w:val="24"/>
          <w:szCs w:val="24"/>
        </w:rPr>
      </w:pPr>
    </w:p>
    <w:p w:rsidR="008D44C3" w:rsidRPr="00CD728B" w:rsidRDefault="000D3657" w:rsidP="008D44C3">
      <w:pPr>
        <w:pStyle w:val="Prrafodelista"/>
        <w:numPr>
          <w:ilvl w:val="0"/>
          <w:numId w:val="2"/>
        </w:numPr>
        <w:spacing w:before="100" w:beforeAutospacing="1" w:after="100" w:afterAutospacing="1" w:line="360" w:lineRule="auto"/>
        <w:jc w:val="both"/>
        <w:rPr>
          <w:rFonts w:ascii="Arial Narrow" w:hAnsi="Arial Narrow" w:cs="Arial"/>
          <w:sz w:val="24"/>
          <w:szCs w:val="24"/>
        </w:rPr>
      </w:pPr>
      <w:r w:rsidRPr="00CD728B">
        <w:rPr>
          <w:rFonts w:ascii="Arial Narrow" w:hAnsi="Arial Narrow" w:cs="Arial"/>
          <w:sz w:val="24"/>
          <w:szCs w:val="24"/>
        </w:rPr>
        <w:t xml:space="preserve">Fracción VI, con un ICP de 19.17%, que establece la publicación de las actas de asamblea de los sindicatos. Los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no actualizaron la información conforme indica la normatividad vigente y tampoco la conservaron y no fundan ni motivan las razones por las cuales no la reportan.</w:t>
      </w:r>
    </w:p>
    <w:p w:rsidR="008D44C3" w:rsidRPr="00CD728B" w:rsidRDefault="008D44C3" w:rsidP="008D44C3">
      <w:pPr>
        <w:pStyle w:val="Prrafodelista"/>
        <w:spacing w:before="100" w:beforeAutospacing="1" w:after="100" w:afterAutospacing="1" w:line="360" w:lineRule="auto"/>
        <w:jc w:val="both"/>
        <w:rPr>
          <w:rFonts w:ascii="Arial Narrow" w:hAnsi="Arial Narrow" w:cs="Arial"/>
          <w:sz w:val="24"/>
          <w:szCs w:val="24"/>
        </w:rPr>
      </w:pPr>
    </w:p>
    <w:p w:rsidR="000D3657" w:rsidRPr="00CD728B" w:rsidRDefault="000D3657" w:rsidP="002E7D47">
      <w:pPr>
        <w:pStyle w:val="Ttulo2"/>
        <w:numPr>
          <w:ilvl w:val="1"/>
          <w:numId w:val="30"/>
        </w:numPr>
        <w:contextualSpacing/>
        <w:jc w:val="both"/>
        <w:rPr>
          <w:rFonts w:ascii="Arial Narrow" w:hAnsi="Arial Narrow"/>
          <w:b/>
          <w:color w:val="auto"/>
          <w:sz w:val="24"/>
          <w:szCs w:val="24"/>
        </w:rPr>
      </w:pPr>
      <w:bookmarkStart w:id="87" w:name="_Toc14293788"/>
      <w:r w:rsidRPr="00CD728B">
        <w:rPr>
          <w:rFonts w:ascii="Arial Narrow" w:hAnsi="Arial Narrow"/>
          <w:b/>
          <w:color w:val="auto"/>
          <w:sz w:val="24"/>
          <w:szCs w:val="24"/>
        </w:rPr>
        <w:lastRenderedPageBreak/>
        <w:t xml:space="preserve">Análisis del </w:t>
      </w:r>
      <w:r w:rsidR="009D7771">
        <w:rPr>
          <w:rFonts w:ascii="Arial Narrow" w:hAnsi="Arial Narrow"/>
          <w:b/>
          <w:color w:val="auto"/>
          <w:sz w:val="24"/>
          <w:szCs w:val="24"/>
        </w:rPr>
        <w:t>Artículo</w:t>
      </w:r>
      <w:r w:rsidRPr="00CD728B">
        <w:rPr>
          <w:rFonts w:ascii="Arial Narrow" w:hAnsi="Arial Narrow"/>
          <w:b/>
          <w:color w:val="auto"/>
          <w:sz w:val="24"/>
          <w:szCs w:val="24"/>
        </w:rPr>
        <w:t xml:space="preserve"> 138 y sus respectivas fracciones</w:t>
      </w:r>
      <w:bookmarkEnd w:id="87"/>
    </w:p>
    <w:p w:rsidR="000D3657" w:rsidRPr="00CD728B" w:rsidRDefault="000D3657" w:rsidP="002E7D47">
      <w:pPr>
        <w:spacing w:before="100" w:beforeAutospacing="1" w:after="100" w:afterAutospacing="1" w:line="360" w:lineRule="auto"/>
        <w:contextualSpacing/>
        <w:jc w:val="both"/>
        <w:rPr>
          <w:rFonts w:ascii="Arial Narrow" w:hAnsi="Arial Narrow" w:cs="Arial"/>
          <w:b/>
          <w:bCs/>
          <w:sz w:val="24"/>
          <w:szCs w:val="24"/>
        </w:rPr>
      </w:pPr>
      <w:r w:rsidRPr="00CD728B">
        <w:rPr>
          <w:rFonts w:ascii="Arial Narrow" w:hAnsi="Arial Narrow" w:cs="Arial"/>
          <w:b/>
          <w:bCs/>
          <w:noProof/>
          <w:sz w:val="24"/>
          <w:szCs w:val="24"/>
          <w:lang w:val="es-MX" w:eastAsia="es-MX"/>
        </w:rPr>
        <w:drawing>
          <wp:inline distT="0" distB="0" distL="0" distR="0" wp14:anchorId="15D17B27" wp14:editId="206E3F97">
            <wp:extent cx="5612130" cy="2647785"/>
            <wp:effectExtent l="0" t="0" r="7620" b="635"/>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WhatsApp Image 2019-07-02 at 5.55.39 PM.jpeg"/>
                    <pic:cNvPicPr/>
                  </pic:nvPicPr>
                  <pic:blipFill>
                    <a:blip r:embed="rId42">
                      <a:extLst>
                        <a:ext uri="{28A0092B-C50C-407E-A947-70E740481C1C}">
                          <a14:useLocalDpi xmlns:a14="http://schemas.microsoft.com/office/drawing/2010/main" val="0"/>
                        </a:ext>
                      </a:extLst>
                    </a:blip>
                    <a:stretch>
                      <a:fillRect/>
                    </a:stretch>
                  </pic:blipFill>
                  <pic:spPr>
                    <a:xfrm>
                      <a:off x="0" y="0"/>
                      <a:ext cx="5616751" cy="2649965"/>
                    </a:xfrm>
                    <a:prstGeom prst="rect">
                      <a:avLst/>
                    </a:prstGeom>
                  </pic:spPr>
                </pic:pic>
              </a:graphicData>
            </a:graphic>
          </wp:inline>
        </w:drawing>
      </w:r>
    </w:p>
    <w:p w:rsidR="000D3657" w:rsidRPr="00CD728B" w:rsidRDefault="000D3657"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 xml:space="preserve">Los sindicatos obtuvieron un ICP en este </w:t>
      </w:r>
      <w:r w:rsidR="009D7771">
        <w:rPr>
          <w:rFonts w:ascii="Arial Narrow" w:hAnsi="Arial Narrow" w:cs="Arial"/>
          <w:sz w:val="24"/>
          <w:szCs w:val="24"/>
        </w:rPr>
        <w:t>Artículo</w:t>
      </w:r>
      <w:r w:rsidRPr="00CD728B">
        <w:rPr>
          <w:rFonts w:ascii="Arial Narrow" w:hAnsi="Arial Narrow" w:cs="Arial"/>
          <w:sz w:val="24"/>
          <w:szCs w:val="24"/>
        </w:rPr>
        <w:t xml:space="preserve"> de 21.05%; por lo que se encuentra dentro del área de incumplimiento parcial. Lo anterior se debió a que 15</w:t>
      </w:r>
      <w:r w:rsidRPr="00CD728B">
        <w:rPr>
          <w:rStyle w:val="Refdenotaalpie"/>
          <w:rFonts w:ascii="Arial Narrow" w:hAnsi="Arial Narrow" w:cs="Arial"/>
          <w:sz w:val="24"/>
          <w:szCs w:val="24"/>
        </w:rPr>
        <w:footnoteReference w:id="73"/>
      </w:r>
      <w:r w:rsidRPr="00CD728B">
        <w:rPr>
          <w:rFonts w:ascii="Arial Narrow" w:hAnsi="Arial Narrow" w:cs="Arial"/>
          <w:sz w:val="24"/>
          <w:szCs w:val="24"/>
        </w:rPr>
        <w:t xml:space="preserve">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no publicaron ni actualizaron su información en la PNT, ni crearon una sección de transparencia dentro de sus portales institucionales. </w:t>
      </w:r>
    </w:p>
    <w:p w:rsidR="008D44C3" w:rsidRPr="00CD728B" w:rsidRDefault="008D44C3" w:rsidP="002E7D47">
      <w:pPr>
        <w:spacing w:before="100" w:beforeAutospacing="1" w:after="100" w:afterAutospacing="1" w:line="360" w:lineRule="auto"/>
        <w:contextualSpacing/>
        <w:jc w:val="both"/>
        <w:rPr>
          <w:rFonts w:ascii="Arial Narrow" w:hAnsi="Arial Narrow" w:cs="Arial"/>
          <w:sz w:val="24"/>
          <w:szCs w:val="24"/>
        </w:rPr>
      </w:pPr>
    </w:p>
    <w:p w:rsidR="000D3657" w:rsidRPr="00CD728B" w:rsidRDefault="000D3657"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 xml:space="preserve">Respecto de los seis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que publicaron y actualizaron su información, cinco</w:t>
      </w:r>
      <w:r w:rsidRPr="00CD728B">
        <w:rPr>
          <w:rStyle w:val="Refdenotaalpie"/>
          <w:rFonts w:ascii="Arial Narrow" w:hAnsi="Arial Narrow" w:cs="Arial"/>
          <w:sz w:val="24"/>
          <w:szCs w:val="24"/>
        </w:rPr>
        <w:footnoteReference w:id="74"/>
      </w:r>
      <w:r w:rsidRPr="00CD728B">
        <w:rPr>
          <w:rFonts w:ascii="Arial Narrow" w:hAnsi="Arial Narrow" w:cs="Arial"/>
          <w:sz w:val="24"/>
          <w:szCs w:val="24"/>
        </w:rPr>
        <w:t xml:space="preserve"> tienen un cumplimiento parcial entre 61.56% y 99.17% y el Sindicato de Trabajadores del Tribunal de Justicia </w:t>
      </w:r>
      <w:r w:rsidRPr="00CD728B">
        <w:rPr>
          <w:rFonts w:ascii="Arial Narrow" w:hAnsi="Arial Narrow" w:cs="Arial"/>
          <w:sz w:val="24"/>
          <w:szCs w:val="24"/>
        </w:rPr>
        <w:lastRenderedPageBreak/>
        <w:t xml:space="preserve">Administrativa de la Ciudad de México con incumplimiento parcial de 20.89%. El </w:t>
      </w:r>
      <w:r w:rsidR="009D7771">
        <w:rPr>
          <w:rFonts w:ascii="Arial Narrow" w:hAnsi="Arial Narrow" w:cs="Arial"/>
          <w:sz w:val="24"/>
          <w:szCs w:val="24"/>
        </w:rPr>
        <w:t>Artículo</w:t>
      </w:r>
      <w:r w:rsidRPr="00CD728B">
        <w:rPr>
          <w:rFonts w:ascii="Arial Narrow" w:hAnsi="Arial Narrow" w:cs="Arial"/>
          <w:sz w:val="24"/>
          <w:szCs w:val="24"/>
        </w:rPr>
        <w:t xml:space="preserve"> se compone de cuatro fracciones, cuyas áreas de oportunidad son las siguientes: </w:t>
      </w:r>
    </w:p>
    <w:p w:rsidR="000D3657" w:rsidRPr="00CD728B" w:rsidRDefault="000D3657" w:rsidP="002E7D47">
      <w:pPr>
        <w:pStyle w:val="Prrafodelista"/>
        <w:numPr>
          <w:ilvl w:val="0"/>
          <w:numId w:val="2"/>
        </w:numPr>
        <w:spacing w:before="100" w:beforeAutospacing="1" w:after="100" w:afterAutospacing="1" w:line="360" w:lineRule="auto"/>
        <w:jc w:val="both"/>
        <w:rPr>
          <w:rFonts w:ascii="Arial Narrow" w:hAnsi="Arial Narrow" w:cs="Arial"/>
          <w:sz w:val="24"/>
          <w:szCs w:val="24"/>
        </w:rPr>
      </w:pPr>
      <w:r w:rsidRPr="00CD728B">
        <w:rPr>
          <w:rFonts w:ascii="Arial Narrow" w:hAnsi="Arial Narrow" w:cs="Arial"/>
          <w:sz w:val="24"/>
          <w:szCs w:val="24"/>
        </w:rPr>
        <w:t xml:space="preserve">Fracción IV, con un ICP de 19.71% en la cual se solicita publicar la relación detallada de los recursos públicos económicos, en especie, bienes o donativos que reciban y el informe detallado del ejercicio y destino final de los recursos públicos que ejercen. Los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no publicaron información y no fundan ni motivan las razones por las cuales no la reportan. También se identificó que no se tiene acceso a los hipervínculos.</w:t>
      </w:r>
    </w:p>
    <w:p w:rsidR="008D44C3" w:rsidRPr="00CD728B" w:rsidRDefault="008D44C3" w:rsidP="008D44C3">
      <w:pPr>
        <w:pStyle w:val="Prrafodelista"/>
        <w:spacing w:before="100" w:beforeAutospacing="1" w:after="100" w:afterAutospacing="1" w:line="360" w:lineRule="auto"/>
        <w:jc w:val="both"/>
        <w:rPr>
          <w:rFonts w:ascii="Arial Narrow" w:hAnsi="Arial Narrow" w:cs="Arial"/>
          <w:sz w:val="24"/>
          <w:szCs w:val="24"/>
        </w:rPr>
      </w:pPr>
    </w:p>
    <w:p w:rsidR="008D44C3" w:rsidRPr="00CD728B" w:rsidRDefault="000D3657" w:rsidP="008D44C3">
      <w:pPr>
        <w:pStyle w:val="Prrafodelista"/>
        <w:numPr>
          <w:ilvl w:val="0"/>
          <w:numId w:val="2"/>
        </w:numPr>
        <w:spacing w:before="100" w:beforeAutospacing="1" w:after="100" w:afterAutospacing="1" w:line="360" w:lineRule="auto"/>
        <w:jc w:val="both"/>
        <w:rPr>
          <w:rFonts w:ascii="Arial Narrow" w:hAnsi="Arial Narrow" w:cs="Arial"/>
          <w:sz w:val="24"/>
          <w:szCs w:val="24"/>
        </w:rPr>
      </w:pPr>
      <w:r w:rsidRPr="00CD728B">
        <w:rPr>
          <w:rFonts w:ascii="Arial Narrow" w:hAnsi="Arial Narrow" w:cs="Arial"/>
          <w:sz w:val="24"/>
          <w:szCs w:val="24"/>
        </w:rPr>
        <w:t xml:space="preserve">Fracción I, con un ICP de 20.11%, la cual hace referencia a la publicación de contratos y convenios entre sindicatos y autoridades. Los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no publicaron información y no fundan ni motivan las razones por las cuales no la reportan. </w:t>
      </w:r>
    </w:p>
    <w:p w:rsidR="008D44C3" w:rsidRPr="00CD728B" w:rsidRDefault="008D44C3" w:rsidP="008D44C3">
      <w:pPr>
        <w:pStyle w:val="Prrafodelista"/>
        <w:spacing w:before="100" w:beforeAutospacing="1" w:after="100" w:afterAutospacing="1" w:line="360" w:lineRule="auto"/>
        <w:jc w:val="both"/>
        <w:rPr>
          <w:rFonts w:ascii="Arial Narrow" w:hAnsi="Arial Narrow" w:cs="Arial"/>
          <w:sz w:val="24"/>
          <w:szCs w:val="24"/>
        </w:rPr>
      </w:pPr>
    </w:p>
    <w:p w:rsidR="008D44C3" w:rsidRPr="00CD728B" w:rsidRDefault="000D3657" w:rsidP="008D44C3">
      <w:pPr>
        <w:pStyle w:val="Prrafodelista"/>
        <w:numPr>
          <w:ilvl w:val="0"/>
          <w:numId w:val="2"/>
        </w:numPr>
        <w:spacing w:before="100" w:beforeAutospacing="1" w:after="100" w:afterAutospacing="1" w:line="360" w:lineRule="auto"/>
        <w:jc w:val="both"/>
        <w:rPr>
          <w:rFonts w:ascii="Arial Narrow" w:hAnsi="Arial Narrow" w:cs="Arial"/>
          <w:sz w:val="24"/>
          <w:szCs w:val="24"/>
        </w:rPr>
      </w:pPr>
      <w:r w:rsidRPr="00CD728B">
        <w:rPr>
          <w:rFonts w:ascii="Arial Narrow" w:hAnsi="Arial Narrow" w:cs="Arial"/>
          <w:sz w:val="24"/>
          <w:szCs w:val="24"/>
        </w:rPr>
        <w:t xml:space="preserve">Fracción III, con un ICP de 22.49%, que establece la publicación del padrón de socios, o agremiados; los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no actualizaron la información conforme indica la normatividad vigente. Los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no publicaron información y no fundan ni motivan las razones.</w:t>
      </w:r>
    </w:p>
    <w:p w:rsidR="008D44C3" w:rsidRPr="00CD728B" w:rsidRDefault="008D44C3" w:rsidP="008D44C3">
      <w:pPr>
        <w:pStyle w:val="Prrafodelista"/>
        <w:spacing w:before="100" w:beforeAutospacing="1" w:after="100" w:afterAutospacing="1" w:line="360" w:lineRule="auto"/>
        <w:jc w:val="both"/>
        <w:rPr>
          <w:rFonts w:ascii="Arial Narrow" w:hAnsi="Arial Narrow" w:cs="Arial"/>
          <w:sz w:val="24"/>
          <w:szCs w:val="24"/>
        </w:rPr>
      </w:pPr>
    </w:p>
    <w:p w:rsidR="008D44C3" w:rsidRPr="00CD728B" w:rsidRDefault="000D3657" w:rsidP="008D44C3">
      <w:pPr>
        <w:pStyle w:val="Prrafodelista"/>
        <w:numPr>
          <w:ilvl w:val="0"/>
          <w:numId w:val="2"/>
        </w:numPr>
        <w:spacing w:before="100" w:beforeAutospacing="1" w:after="100" w:afterAutospacing="1" w:line="360" w:lineRule="auto"/>
        <w:jc w:val="both"/>
        <w:rPr>
          <w:rFonts w:ascii="Arial Narrow" w:hAnsi="Arial Narrow" w:cs="Arial"/>
          <w:sz w:val="24"/>
          <w:szCs w:val="24"/>
        </w:rPr>
      </w:pPr>
      <w:r w:rsidRPr="00CD728B">
        <w:rPr>
          <w:rFonts w:ascii="Arial Narrow" w:hAnsi="Arial Narrow" w:cs="Arial"/>
          <w:sz w:val="24"/>
          <w:szCs w:val="24"/>
        </w:rPr>
        <w:t xml:space="preserve">Fracción II, con un ICP de 25.13%, la cual hace referencia a la publicación del Comité Ejecutivo; estatal, seccional o local. Los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no actualizaron la información conforme indica la normatividad vigente y tampoco la conservan, en otros casos no publicaron información y no fundan ni motivan las razones.</w:t>
      </w:r>
    </w:p>
    <w:p w:rsidR="008D44C3" w:rsidRPr="00CD728B" w:rsidRDefault="008D44C3" w:rsidP="008D44C3">
      <w:pPr>
        <w:pStyle w:val="Prrafodelista"/>
        <w:spacing w:before="100" w:beforeAutospacing="1" w:after="100" w:afterAutospacing="1" w:line="360" w:lineRule="auto"/>
        <w:jc w:val="both"/>
        <w:rPr>
          <w:rFonts w:ascii="Arial Narrow" w:hAnsi="Arial Narrow" w:cs="Arial"/>
          <w:sz w:val="24"/>
          <w:szCs w:val="24"/>
        </w:rPr>
      </w:pPr>
    </w:p>
    <w:p w:rsidR="000D3657" w:rsidRPr="00CD728B" w:rsidRDefault="000D3657" w:rsidP="002E7D47">
      <w:pPr>
        <w:pStyle w:val="Ttulo2"/>
        <w:numPr>
          <w:ilvl w:val="1"/>
          <w:numId w:val="30"/>
        </w:numPr>
        <w:contextualSpacing/>
        <w:jc w:val="both"/>
        <w:rPr>
          <w:rFonts w:ascii="Arial Narrow" w:hAnsi="Arial Narrow"/>
          <w:b/>
          <w:color w:val="auto"/>
          <w:sz w:val="24"/>
          <w:szCs w:val="24"/>
        </w:rPr>
      </w:pPr>
      <w:bookmarkStart w:id="88" w:name="_Toc14293789"/>
      <w:r w:rsidRPr="00CD728B">
        <w:rPr>
          <w:rFonts w:ascii="Arial Narrow" w:hAnsi="Arial Narrow"/>
          <w:b/>
          <w:color w:val="auto"/>
          <w:sz w:val="24"/>
          <w:szCs w:val="24"/>
        </w:rPr>
        <w:lastRenderedPageBreak/>
        <w:t xml:space="preserve">Análisis del </w:t>
      </w:r>
      <w:r w:rsidR="009D7771">
        <w:rPr>
          <w:rFonts w:ascii="Arial Narrow" w:hAnsi="Arial Narrow"/>
          <w:b/>
          <w:color w:val="auto"/>
          <w:sz w:val="24"/>
          <w:szCs w:val="24"/>
        </w:rPr>
        <w:t>Artículo</w:t>
      </w:r>
      <w:r w:rsidRPr="00CD728B">
        <w:rPr>
          <w:rFonts w:ascii="Arial Narrow" w:hAnsi="Arial Narrow"/>
          <w:b/>
          <w:color w:val="auto"/>
          <w:sz w:val="24"/>
          <w:szCs w:val="24"/>
        </w:rPr>
        <w:t xml:space="preserve"> 145</w:t>
      </w:r>
      <w:bookmarkEnd w:id="88"/>
    </w:p>
    <w:p w:rsidR="000D3657" w:rsidRPr="00CD728B" w:rsidRDefault="000D3657" w:rsidP="002E7D47">
      <w:pPr>
        <w:spacing w:before="100" w:beforeAutospacing="1" w:after="100" w:afterAutospacing="1" w:line="360" w:lineRule="auto"/>
        <w:contextualSpacing/>
        <w:jc w:val="both"/>
        <w:rPr>
          <w:rFonts w:ascii="Arial Narrow" w:hAnsi="Arial Narrow" w:cs="Arial"/>
          <w:b/>
          <w:bCs/>
          <w:sz w:val="24"/>
          <w:szCs w:val="24"/>
        </w:rPr>
      </w:pPr>
      <w:r w:rsidRPr="00CD728B">
        <w:rPr>
          <w:rFonts w:ascii="Arial Narrow" w:hAnsi="Arial Narrow" w:cs="Arial"/>
          <w:b/>
          <w:bCs/>
          <w:noProof/>
          <w:sz w:val="24"/>
          <w:szCs w:val="24"/>
          <w:lang w:val="es-MX" w:eastAsia="es-MX"/>
        </w:rPr>
        <w:drawing>
          <wp:inline distT="0" distB="0" distL="0" distR="0" wp14:anchorId="408A5514" wp14:editId="15EEB636">
            <wp:extent cx="5612130" cy="3589020"/>
            <wp:effectExtent l="0" t="0" r="762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WhatsApp Image 2019-07-02 at 5.58.16 PM.jpeg"/>
                    <pic:cNvPicPr/>
                  </pic:nvPicPr>
                  <pic:blipFill>
                    <a:blip r:embed="rId43">
                      <a:extLst>
                        <a:ext uri="{28A0092B-C50C-407E-A947-70E740481C1C}">
                          <a14:useLocalDpi xmlns:a14="http://schemas.microsoft.com/office/drawing/2010/main" val="0"/>
                        </a:ext>
                      </a:extLst>
                    </a:blip>
                    <a:stretch>
                      <a:fillRect/>
                    </a:stretch>
                  </pic:blipFill>
                  <pic:spPr>
                    <a:xfrm>
                      <a:off x="0" y="0"/>
                      <a:ext cx="5612130" cy="3589020"/>
                    </a:xfrm>
                    <a:prstGeom prst="rect">
                      <a:avLst/>
                    </a:prstGeom>
                  </pic:spPr>
                </pic:pic>
              </a:graphicData>
            </a:graphic>
          </wp:inline>
        </w:drawing>
      </w:r>
    </w:p>
    <w:p w:rsidR="008D44C3" w:rsidRPr="00CD728B" w:rsidRDefault="000D3657"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 xml:space="preserve">Los sindicatos obtuvieron un ICP en este </w:t>
      </w:r>
      <w:r w:rsidR="009D7771">
        <w:rPr>
          <w:rFonts w:ascii="Arial Narrow" w:hAnsi="Arial Narrow" w:cs="Arial"/>
          <w:sz w:val="24"/>
          <w:szCs w:val="24"/>
        </w:rPr>
        <w:t>Artículo</w:t>
      </w:r>
      <w:r w:rsidRPr="00CD728B">
        <w:rPr>
          <w:rFonts w:ascii="Arial Narrow" w:hAnsi="Arial Narrow" w:cs="Arial"/>
          <w:sz w:val="24"/>
          <w:szCs w:val="24"/>
        </w:rPr>
        <w:t xml:space="preserve"> de 27.38%; por lo que se encuentra dentro del área de cumplimiento parcial. Lo anterior se debió a que 15</w:t>
      </w:r>
      <w:r w:rsidRPr="00CD728B">
        <w:rPr>
          <w:rStyle w:val="Refdenotaalpie"/>
          <w:rFonts w:ascii="Arial Narrow" w:hAnsi="Arial Narrow" w:cs="Arial"/>
          <w:sz w:val="24"/>
          <w:szCs w:val="24"/>
        </w:rPr>
        <w:footnoteReference w:id="75"/>
      </w:r>
      <w:r w:rsidRPr="00CD728B">
        <w:rPr>
          <w:rFonts w:ascii="Arial Narrow" w:hAnsi="Arial Narrow" w:cs="Arial"/>
          <w:sz w:val="24"/>
          <w:szCs w:val="24"/>
        </w:rPr>
        <w:t xml:space="preserve">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no cuentan con un Portal Institucional de Transparencia; cinco</w:t>
      </w:r>
      <w:r w:rsidRPr="00CD728B">
        <w:rPr>
          <w:rStyle w:val="Refdenotaalpie"/>
          <w:rFonts w:ascii="Arial Narrow" w:hAnsi="Arial Narrow" w:cs="Arial"/>
          <w:sz w:val="24"/>
          <w:szCs w:val="24"/>
        </w:rPr>
        <w:footnoteReference w:id="76"/>
      </w:r>
      <w:r w:rsidRPr="00CD728B">
        <w:rPr>
          <w:rFonts w:ascii="Arial Narrow" w:hAnsi="Arial Narrow" w:cs="Arial"/>
          <w:sz w:val="24"/>
          <w:szCs w:val="24"/>
        </w:rPr>
        <w:t xml:space="preserve"> cumplieron cabalmente con un acceso directo dentro de su </w:t>
      </w:r>
      <w:r w:rsidRPr="00CD728B">
        <w:rPr>
          <w:rFonts w:ascii="Arial Narrow" w:hAnsi="Arial Narrow" w:cs="Arial"/>
          <w:sz w:val="24"/>
          <w:szCs w:val="24"/>
        </w:rPr>
        <w:lastRenderedPageBreak/>
        <w:t>portal a la información de sus obligaciones de transparencia y el Sindicato de Trabajadores del Tribunal de Justicia Administrativa de la Ciudad de México cumplió parcialmente.</w:t>
      </w:r>
    </w:p>
    <w:p w:rsidR="008D44C3" w:rsidRPr="00CD728B" w:rsidRDefault="008D44C3" w:rsidP="002E7D47">
      <w:pPr>
        <w:spacing w:before="100" w:beforeAutospacing="1" w:after="100" w:afterAutospacing="1" w:line="360" w:lineRule="auto"/>
        <w:contextualSpacing/>
        <w:jc w:val="both"/>
        <w:rPr>
          <w:rFonts w:ascii="Arial Narrow" w:hAnsi="Arial Narrow" w:cs="Arial"/>
          <w:sz w:val="24"/>
          <w:szCs w:val="24"/>
        </w:rPr>
      </w:pPr>
    </w:p>
    <w:p w:rsidR="000D3657" w:rsidRPr="00CD728B" w:rsidRDefault="000D3657"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 xml:space="preserve">Con relación a los demás </w:t>
      </w:r>
      <w:r w:rsidR="009D7771">
        <w:rPr>
          <w:rFonts w:ascii="Arial Narrow" w:hAnsi="Arial Narrow" w:cs="Arial"/>
          <w:sz w:val="24"/>
          <w:szCs w:val="24"/>
        </w:rPr>
        <w:t>Artículo</w:t>
      </w:r>
      <w:r w:rsidRPr="00CD728B">
        <w:rPr>
          <w:rFonts w:ascii="Arial Narrow" w:hAnsi="Arial Narrow" w:cs="Arial"/>
          <w:sz w:val="24"/>
          <w:szCs w:val="24"/>
        </w:rPr>
        <w:t xml:space="preserve">s, destaca la necesidad de realizar una sección dedicada únicamente a la publicación de las obligaciones de transparencia en su portal institucional. </w:t>
      </w:r>
    </w:p>
    <w:p w:rsidR="008D44C3" w:rsidRPr="00CD728B" w:rsidRDefault="008D44C3" w:rsidP="002E7D47">
      <w:pPr>
        <w:spacing w:before="100" w:beforeAutospacing="1" w:after="100" w:afterAutospacing="1" w:line="360" w:lineRule="auto"/>
        <w:contextualSpacing/>
        <w:jc w:val="both"/>
        <w:rPr>
          <w:rFonts w:ascii="Arial Narrow" w:hAnsi="Arial Narrow" w:cs="Arial"/>
          <w:sz w:val="24"/>
          <w:szCs w:val="24"/>
        </w:rPr>
      </w:pPr>
    </w:p>
    <w:p w:rsidR="000D3657" w:rsidRPr="00CD728B" w:rsidRDefault="000D3657" w:rsidP="002E7D47">
      <w:pPr>
        <w:pStyle w:val="Ttulo2"/>
        <w:numPr>
          <w:ilvl w:val="1"/>
          <w:numId w:val="30"/>
        </w:numPr>
        <w:contextualSpacing/>
        <w:jc w:val="both"/>
        <w:rPr>
          <w:rFonts w:ascii="Arial Narrow" w:hAnsi="Arial Narrow"/>
          <w:b/>
          <w:color w:val="auto"/>
          <w:sz w:val="24"/>
          <w:szCs w:val="24"/>
        </w:rPr>
      </w:pPr>
      <w:bookmarkStart w:id="89" w:name="_Toc14293790"/>
      <w:r w:rsidRPr="00CD728B">
        <w:rPr>
          <w:rFonts w:ascii="Arial Narrow" w:hAnsi="Arial Narrow"/>
          <w:b/>
          <w:color w:val="auto"/>
          <w:sz w:val="24"/>
          <w:szCs w:val="24"/>
        </w:rPr>
        <w:t xml:space="preserve">Análisis del </w:t>
      </w:r>
      <w:r w:rsidR="009D7771">
        <w:rPr>
          <w:rFonts w:ascii="Arial Narrow" w:hAnsi="Arial Narrow"/>
          <w:b/>
          <w:color w:val="auto"/>
          <w:sz w:val="24"/>
          <w:szCs w:val="24"/>
        </w:rPr>
        <w:t>Artículo</w:t>
      </w:r>
      <w:r w:rsidRPr="00CD728B">
        <w:rPr>
          <w:rFonts w:ascii="Arial Narrow" w:hAnsi="Arial Narrow"/>
          <w:b/>
          <w:color w:val="auto"/>
          <w:sz w:val="24"/>
          <w:szCs w:val="24"/>
        </w:rPr>
        <w:t xml:space="preserve"> 146</w:t>
      </w:r>
      <w:bookmarkEnd w:id="89"/>
    </w:p>
    <w:p w:rsidR="000D3657" w:rsidRPr="00CD728B" w:rsidRDefault="000D3657" w:rsidP="002E7D47">
      <w:pPr>
        <w:spacing w:before="100" w:beforeAutospacing="1" w:after="100" w:afterAutospacing="1" w:line="360" w:lineRule="auto"/>
        <w:contextualSpacing/>
        <w:jc w:val="both"/>
        <w:rPr>
          <w:rFonts w:ascii="Arial Narrow" w:hAnsi="Arial Narrow" w:cs="Arial"/>
          <w:b/>
          <w:bCs/>
          <w:sz w:val="24"/>
          <w:szCs w:val="24"/>
        </w:rPr>
      </w:pPr>
      <w:r w:rsidRPr="00CD728B">
        <w:rPr>
          <w:rFonts w:ascii="Arial Narrow" w:hAnsi="Arial Narrow" w:cs="Arial"/>
          <w:b/>
          <w:bCs/>
          <w:noProof/>
          <w:sz w:val="24"/>
          <w:szCs w:val="24"/>
          <w:lang w:val="es-MX" w:eastAsia="es-MX"/>
        </w:rPr>
        <w:drawing>
          <wp:inline distT="0" distB="0" distL="0" distR="0" wp14:anchorId="01D0F636" wp14:editId="488218C2">
            <wp:extent cx="5612130" cy="2488759"/>
            <wp:effectExtent l="0" t="0" r="7620" b="6985"/>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WhatsApp Image 2019-07-02 at 6.00.29 PM.jpeg"/>
                    <pic:cNvPicPr/>
                  </pic:nvPicPr>
                  <pic:blipFill>
                    <a:blip r:embed="rId44">
                      <a:extLst>
                        <a:ext uri="{28A0092B-C50C-407E-A947-70E740481C1C}">
                          <a14:useLocalDpi xmlns:a14="http://schemas.microsoft.com/office/drawing/2010/main" val="0"/>
                        </a:ext>
                      </a:extLst>
                    </a:blip>
                    <a:stretch>
                      <a:fillRect/>
                    </a:stretch>
                  </pic:blipFill>
                  <pic:spPr>
                    <a:xfrm>
                      <a:off x="0" y="0"/>
                      <a:ext cx="5617274" cy="2491040"/>
                    </a:xfrm>
                    <a:prstGeom prst="rect">
                      <a:avLst/>
                    </a:prstGeom>
                  </pic:spPr>
                </pic:pic>
              </a:graphicData>
            </a:graphic>
          </wp:inline>
        </w:drawing>
      </w:r>
    </w:p>
    <w:p w:rsidR="008D44C3" w:rsidRPr="00CD728B" w:rsidRDefault="008D44C3" w:rsidP="002E7D47">
      <w:pPr>
        <w:spacing w:before="100" w:beforeAutospacing="1" w:after="100" w:afterAutospacing="1" w:line="360" w:lineRule="auto"/>
        <w:contextualSpacing/>
        <w:jc w:val="both"/>
        <w:rPr>
          <w:rFonts w:ascii="Arial Narrow" w:hAnsi="Arial Narrow" w:cs="Arial"/>
          <w:sz w:val="24"/>
          <w:szCs w:val="24"/>
        </w:rPr>
      </w:pPr>
    </w:p>
    <w:p w:rsidR="000D3657" w:rsidRPr="00CD728B" w:rsidRDefault="000D3657"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 xml:space="preserve">Los sindicatos obtuvieron un ICP en este </w:t>
      </w:r>
      <w:r w:rsidR="009D7771">
        <w:rPr>
          <w:rFonts w:ascii="Arial Narrow" w:hAnsi="Arial Narrow" w:cs="Arial"/>
          <w:sz w:val="24"/>
          <w:szCs w:val="24"/>
        </w:rPr>
        <w:t>Artículo</w:t>
      </w:r>
      <w:r w:rsidRPr="00CD728B">
        <w:rPr>
          <w:rFonts w:ascii="Arial Narrow" w:hAnsi="Arial Narrow" w:cs="Arial"/>
          <w:sz w:val="24"/>
          <w:szCs w:val="24"/>
        </w:rPr>
        <w:t xml:space="preserve"> de 18.70%; que se encuentra dentro del área de incumplimiento parcial. Lo anterior debido a que 15</w:t>
      </w:r>
      <w:r w:rsidRPr="00CD728B">
        <w:rPr>
          <w:rStyle w:val="Refdenotaalpie"/>
          <w:rFonts w:ascii="Arial Narrow" w:hAnsi="Arial Narrow" w:cs="Arial"/>
          <w:sz w:val="24"/>
          <w:szCs w:val="24"/>
        </w:rPr>
        <w:footnoteReference w:id="77"/>
      </w:r>
      <w:r w:rsidRPr="00CD728B">
        <w:rPr>
          <w:rFonts w:ascii="Arial Narrow" w:hAnsi="Arial Narrow" w:cs="Arial"/>
          <w:sz w:val="24"/>
          <w:szCs w:val="24"/>
        </w:rPr>
        <w:t xml:space="preserve"> los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no publicaron ni </w:t>
      </w:r>
      <w:r w:rsidRPr="00CD728B">
        <w:rPr>
          <w:rFonts w:ascii="Arial Narrow" w:hAnsi="Arial Narrow" w:cs="Arial"/>
          <w:sz w:val="24"/>
          <w:szCs w:val="24"/>
        </w:rPr>
        <w:lastRenderedPageBreak/>
        <w:t xml:space="preserve">actualizaron su información en la PNT, ni crearon una sección de transparencia dentro de sus portales institucionales. </w:t>
      </w:r>
    </w:p>
    <w:p w:rsidR="008D44C3" w:rsidRPr="00CD728B" w:rsidRDefault="008D44C3" w:rsidP="002E7D47">
      <w:pPr>
        <w:spacing w:before="100" w:beforeAutospacing="1" w:after="100" w:afterAutospacing="1" w:line="360" w:lineRule="auto"/>
        <w:contextualSpacing/>
        <w:jc w:val="both"/>
        <w:rPr>
          <w:rFonts w:ascii="Arial Narrow" w:hAnsi="Arial Narrow" w:cs="Arial"/>
          <w:sz w:val="24"/>
          <w:szCs w:val="24"/>
        </w:rPr>
      </w:pPr>
    </w:p>
    <w:p w:rsidR="000D3657" w:rsidRPr="00CD728B" w:rsidRDefault="000D3657"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 xml:space="preserve">Respecto de los seis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que publicaron y actualizaron su información, dos </w:t>
      </w:r>
      <w:r w:rsidR="003C3757" w:rsidRPr="00CD728B">
        <w:rPr>
          <w:rFonts w:ascii="Arial Narrow" w:hAnsi="Arial Narrow" w:cs="Arial"/>
          <w:sz w:val="24"/>
          <w:szCs w:val="24"/>
        </w:rPr>
        <w:t>Sujetos Obligados</w:t>
      </w:r>
      <w:r w:rsidRPr="00CD728B">
        <w:rPr>
          <w:rStyle w:val="Refdenotaalpie"/>
          <w:rFonts w:ascii="Arial Narrow" w:hAnsi="Arial Narrow" w:cs="Arial"/>
          <w:sz w:val="24"/>
          <w:szCs w:val="24"/>
        </w:rPr>
        <w:footnoteReference w:id="78"/>
      </w:r>
      <w:r w:rsidRPr="00CD728B">
        <w:rPr>
          <w:rFonts w:ascii="Arial Narrow" w:hAnsi="Arial Narrow" w:cs="Arial"/>
          <w:sz w:val="24"/>
          <w:szCs w:val="24"/>
        </w:rPr>
        <w:t xml:space="preserve"> obtuvieron un cumplimiento total, el Sindicato Nacional de Trabajadores del Sistema de Transporte Colectivo alcanzó 92.73%</w:t>
      </w:r>
      <w:r w:rsidRPr="00CD728B">
        <w:rPr>
          <w:rStyle w:val="Refdenotaalpie"/>
          <w:rFonts w:ascii="Arial Narrow" w:hAnsi="Arial Narrow" w:cs="Arial"/>
          <w:sz w:val="24"/>
          <w:szCs w:val="24"/>
        </w:rPr>
        <w:footnoteReference w:id="79"/>
      </w:r>
      <w:r w:rsidRPr="00CD728B">
        <w:rPr>
          <w:rFonts w:ascii="Arial Narrow" w:hAnsi="Arial Narrow" w:cs="Arial"/>
          <w:sz w:val="24"/>
          <w:szCs w:val="24"/>
        </w:rPr>
        <w:t>, dos</w:t>
      </w:r>
      <w:r w:rsidRPr="00CD728B">
        <w:rPr>
          <w:rStyle w:val="Refdenotaalpie"/>
          <w:rFonts w:ascii="Arial Narrow" w:hAnsi="Arial Narrow" w:cs="Arial"/>
          <w:sz w:val="24"/>
          <w:szCs w:val="24"/>
        </w:rPr>
        <w:footnoteReference w:id="80"/>
      </w:r>
      <w:r w:rsidRPr="00CD728B">
        <w:rPr>
          <w:rFonts w:ascii="Arial Narrow" w:hAnsi="Arial Narrow" w:cs="Arial"/>
          <w:sz w:val="24"/>
          <w:szCs w:val="24"/>
        </w:rPr>
        <w:t xml:space="preserve"> tuvieron un incumplimiento parcial de 50% y el Sindicato Único de Trabajadores de la Universidad Autónoma de la Ciudad de México incumplió totalmente.</w:t>
      </w:r>
    </w:p>
    <w:p w:rsidR="008D44C3" w:rsidRPr="00CD728B" w:rsidRDefault="008D44C3" w:rsidP="002E7D47">
      <w:pPr>
        <w:spacing w:before="100" w:beforeAutospacing="1" w:after="100" w:afterAutospacing="1" w:line="360" w:lineRule="auto"/>
        <w:contextualSpacing/>
        <w:jc w:val="both"/>
        <w:rPr>
          <w:rFonts w:ascii="Arial Narrow" w:hAnsi="Arial Narrow" w:cs="Arial"/>
          <w:sz w:val="24"/>
          <w:szCs w:val="24"/>
        </w:rPr>
      </w:pPr>
    </w:p>
    <w:p w:rsidR="000D3657" w:rsidRPr="00CD728B" w:rsidRDefault="000D3657"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 xml:space="preserve">Al respecto, el área de oportunidad consiste en que los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publiquen su calendario de actualización de las obligaciones de transparencia y tengan precaución respecto de las fechas que señalan, puesto que no atienden a lo establecido en la Tabla de Actualización y Conservación de los Lineamientos y Metodología de Evaluación. </w:t>
      </w:r>
    </w:p>
    <w:p w:rsidR="000D3657" w:rsidRPr="00CD728B" w:rsidRDefault="000D3657" w:rsidP="002E7D47">
      <w:pPr>
        <w:pStyle w:val="Ttulo2"/>
        <w:numPr>
          <w:ilvl w:val="1"/>
          <w:numId w:val="30"/>
        </w:numPr>
        <w:contextualSpacing/>
        <w:jc w:val="both"/>
        <w:rPr>
          <w:rFonts w:ascii="Arial Narrow" w:hAnsi="Arial Narrow"/>
          <w:b/>
          <w:color w:val="auto"/>
          <w:sz w:val="24"/>
          <w:szCs w:val="24"/>
        </w:rPr>
      </w:pPr>
      <w:bookmarkStart w:id="90" w:name="_Toc14293791"/>
      <w:r w:rsidRPr="00CD728B">
        <w:rPr>
          <w:rFonts w:ascii="Arial Narrow" w:hAnsi="Arial Narrow"/>
          <w:b/>
          <w:color w:val="auto"/>
          <w:sz w:val="24"/>
          <w:szCs w:val="24"/>
        </w:rPr>
        <w:t xml:space="preserve">Análisis del </w:t>
      </w:r>
      <w:r w:rsidR="009D7771">
        <w:rPr>
          <w:rFonts w:ascii="Arial Narrow" w:hAnsi="Arial Narrow"/>
          <w:b/>
          <w:color w:val="auto"/>
          <w:sz w:val="24"/>
          <w:szCs w:val="24"/>
        </w:rPr>
        <w:t>Artículo</w:t>
      </w:r>
      <w:r w:rsidRPr="00CD728B">
        <w:rPr>
          <w:rFonts w:ascii="Arial Narrow" w:hAnsi="Arial Narrow"/>
          <w:b/>
          <w:color w:val="auto"/>
          <w:sz w:val="24"/>
          <w:szCs w:val="24"/>
        </w:rPr>
        <w:t xml:space="preserve"> 147</w:t>
      </w:r>
      <w:bookmarkEnd w:id="90"/>
      <w:r w:rsidRPr="00CD728B">
        <w:rPr>
          <w:rFonts w:ascii="Arial Narrow" w:hAnsi="Arial Narrow"/>
          <w:b/>
          <w:color w:val="auto"/>
          <w:sz w:val="24"/>
          <w:szCs w:val="24"/>
        </w:rPr>
        <w:t xml:space="preserve"> </w:t>
      </w:r>
    </w:p>
    <w:p w:rsidR="000D3657" w:rsidRPr="00CD728B" w:rsidRDefault="000D3657" w:rsidP="002E7D47">
      <w:pPr>
        <w:spacing w:before="100" w:beforeAutospacing="1" w:after="100" w:afterAutospacing="1" w:line="360" w:lineRule="auto"/>
        <w:contextualSpacing/>
        <w:jc w:val="both"/>
        <w:rPr>
          <w:rFonts w:ascii="Arial Narrow" w:hAnsi="Arial Narrow" w:cs="Arial"/>
          <w:b/>
          <w:bCs/>
          <w:sz w:val="24"/>
          <w:szCs w:val="24"/>
        </w:rPr>
      </w:pPr>
      <w:r w:rsidRPr="00CD728B">
        <w:rPr>
          <w:rFonts w:ascii="Arial Narrow" w:hAnsi="Arial Narrow" w:cs="Arial"/>
          <w:b/>
          <w:bCs/>
          <w:noProof/>
          <w:sz w:val="24"/>
          <w:szCs w:val="24"/>
          <w:lang w:val="es-MX" w:eastAsia="es-MX"/>
        </w:rPr>
        <w:drawing>
          <wp:inline distT="0" distB="0" distL="0" distR="0" wp14:anchorId="25D42740" wp14:editId="56F27AE5">
            <wp:extent cx="5612130" cy="2218414"/>
            <wp:effectExtent l="0" t="0" r="762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WhatsApp Image 2019-07-02 at 6.02.45 PM.jpeg"/>
                    <pic:cNvPicPr/>
                  </pic:nvPicPr>
                  <pic:blipFill>
                    <a:blip r:embed="rId45">
                      <a:extLst>
                        <a:ext uri="{28A0092B-C50C-407E-A947-70E740481C1C}">
                          <a14:useLocalDpi xmlns:a14="http://schemas.microsoft.com/office/drawing/2010/main" val="0"/>
                        </a:ext>
                      </a:extLst>
                    </a:blip>
                    <a:stretch>
                      <a:fillRect/>
                    </a:stretch>
                  </pic:blipFill>
                  <pic:spPr>
                    <a:xfrm>
                      <a:off x="0" y="0"/>
                      <a:ext cx="5616358" cy="2220085"/>
                    </a:xfrm>
                    <a:prstGeom prst="rect">
                      <a:avLst/>
                    </a:prstGeom>
                  </pic:spPr>
                </pic:pic>
              </a:graphicData>
            </a:graphic>
          </wp:inline>
        </w:drawing>
      </w:r>
    </w:p>
    <w:p w:rsidR="008D44C3" w:rsidRPr="00CD728B" w:rsidRDefault="008D44C3" w:rsidP="002E7D47">
      <w:pPr>
        <w:spacing w:before="100" w:beforeAutospacing="1" w:after="100" w:afterAutospacing="1" w:line="360" w:lineRule="auto"/>
        <w:contextualSpacing/>
        <w:jc w:val="both"/>
        <w:rPr>
          <w:rFonts w:ascii="Arial Narrow" w:hAnsi="Arial Narrow" w:cs="Arial"/>
          <w:sz w:val="24"/>
          <w:szCs w:val="24"/>
        </w:rPr>
      </w:pPr>
    </w:p>
    <w:p w:rsidR="000D3657" w:rsidRPr="00CD728B" w:rsidRDefault="000D3657"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lastRenderedPageBreak/>
        <w:t>Los sindicatos obtuvieron un ICP de 14.29%; por lo que se encuentra dentro del área de incumplimiento parcial. Lo anterior se debió a que 15</w:t>
      </w:r>
      <w:r w:rsidRPr="00CD728B">
        <w:rPr>
          <w:rStyle w:val="Refdenotaalpie"/>
          <w:rFonts w:ascii="Arial Narrow" w:hAnsi="Arial Narrow" w:cs="Arial"/>
          <w:sz w:val="24"/>
          <w:szCs w:val="24"/>
        </w:rPr>
        <w:footnoteReference w:id="81"/>
      </w:r>
      <w:r w:rsidRPr="00CD728B">
        <w:rPr>
          <w:rFonts w:ascii="Arial Narrow" w:hAnsi="Arial Narrow" w:cs="Arial"/>
          <w:sz w:val="24"/>
          <w:szCs w:val="24"/>
        </w:rPr>
        <w:t xml:space="preserve">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no publicaron ni actualizaron su información en la PNT, ni crearon una sección de transparencia dentro de sus portales institucionales. </w:t>
      </w:r>
    </w:p>
    <w:p w:rsidR="008D44C3" w:rsidRPr="00CD728B" w:rsidRDefault="008D44C3" w:rsidP="002E7D47">
      <w:pPr>
        <w:spacing w:before="100" w:beforeAutospacing="1" w:after="100" w:afterAutospacing="1" w:line="360" w:lineRule="auto"/>
        <w:contextualSpacing/>
        <w:jc w:val="both"/>
        <w:rPr>
          <w:rFonts w:ascii="Arial Narrow" w:hAnsi="Arial Narrow" w:cs="Arial"/>
          <w:sz w:val="24"/>
          <w:szCs w:val="24"/>
        </w:rPr>
      </w:pPr>
    </w:p>
    <w:p w:rsidR="000D3657" w:rsidRPr="00CD728B" w:rsidRDefault="000D3657" w:rsidP="002E7D47">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 xml:space="preserve">Respecto de los seis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que publicaron y actualizaron su información, dos</w:t>
      </w:r>
      <w:r w:rsidRPr="00CD728B">
        <w:rPr>
          <w:rStyle w:val="Refdenotaalpie"/>
          <w:rFonts w:ascii="Arial Narrow" w:hAnsi="Arial Narrow" w:cs="Arial"/>
          <w:sz w:val="24"/>
          <w:szCs w:val="24"/>
        </w:rPr>
        <w:footnoteReference w:id="82"/>
      </w:r>
      <w:r w:rsidRPr="00CD728B">
        <w:rPr>
          <w:rFonts w:ascii="Arial Narrow" w:hAnsi="Arial Narrow" w:cs="Arial"/>
          <w:sz w:val="24"/>
          <w:szCs w:val="24"/>
        </w:rPr>
        <w:t xml:space="preserve"> obtuvieron un cumplimiento total y dos</w:t>
      </w:r>
      <w:r w:rsidRPr="00CD728B">
        <w:rPr>
          <w:rStyle w:val="Refdenotaalpie"/>
          <w:rFonts w:ascii="Arial Narrow" w:hAnsi="Arial Narrow" w:cs="Arial"/>
          <w:sz w:val="24"/>
          <w:szCs w:val="24"/>
        </w:rPr>
        <w:footnoteReference w:id="83"/>
      </w:r>
      <w:r w:rsidRPr="00CD728B">
        <w:rPr>
          <w:rFonts w:ascii="Arial Narrow" w:hAnsi="Arial Narrow" w:cs="Arial"/>
          <w:sz w:val="24"/>
          <w:szCs w:val="24"/>
        </w:rPr>
        <w:t xml:space="preserve"> tuvieron un incumplimiento parcial de 50%.</w:t>
      </w:r>
    </w:p>
    <w:p w:rsidR="00FF3005" w:rsidRDefault="000D3657" w:rsidP="001226FE">
      <w:pPr>
        <w:spacing w:before="100" w:beforeAutospacing="1" w:after="100" w:afterAutospacing="1" w:line="360" w:lineRule="auto"/>
        <w:contextualSpacing/>
        <w:jc w:val="both"/>
        <w:rPr>
          <w:rFonts w:ascii="Arial Narrow" w:hAnsi="Arial Narrow" w:cs="Arial"/>
          <w:sz w:val="24"/>
          <w:szCs w:val="24"/>
        </w:rPr>
      </w:pPr>
      <w:r w:rsidRPr="00CD728B">
        <w:rPr>
          <w:rFonts w:ascii="Arial Narrow" w:hAnsi="Arial Narrow" w:cs="Arial"/>
          <w:sz w:val="24"/>
          <w:szCs w:val="24"/>
        </w:rPr>
        <w:t xml:space="preserve">El área de oportunidad de este </w:t>
      </w:r>
      <w:r w:rsidR="009D7771">
        <w:rPr>
          <w:rFonts w:ascii="Arial Narrow" w:hAnsi="Arial Narrow" w:cs="Arial"/>
          <w:sz w:val="24"/>
          <w:szCs w:val="24"/>
        </w:rPr>
        <w:t>Artículo</w:t>
      </w:r>
      <w:r w:rsidRPr="00CD728B">
        <w:rPr>
          <w:rFonts w:ascii="Arial Narrow" w:hAnsi="Arial Narrow" w:cs="Arial"/>
          <w:sz w:val="24"/>
          <w:szCs w:val="24"/>
        </w:rPr>
        <w:t xml:space="preserve"> consiste en que los </w:t>
      </w:r>
      <w:r w:rsidR="003C3757" w:rsidRPr="00CD728B">
        <w:rPr>
          <w:rFonts w:ascii="Arial Narrow" w:hAnsi="Arial Narrow" w:cs="Arial"/>
          <w:sz w:val="24"/>
          <w:szCs w:val="24"/>
        </w:rPr>
        <w:t>Sujetos Obligados</w:t>
      </w:r>
      <w:r w:rsidRPr="00CD728B">
        <w:rPr>
          <w:rFonts w:ascii="Arial Narrow" w:hAnsi="Arial Narrow" w:cs="Arial"/>
          <w:sz w:val="24"/>
          <w:szCs w:val="24"/>
        </w:rPr>
        <w:t xml:space="preserve"> publiquen y actualicen la información que les corresponde, en caso de no generarla; fundar y motivar en el campo respectivo las razones.</w:t>
      </w:r>
      <w:r w:rsidR="001226FE" w:rsidRPr="00CD728B">
        <w:rPr>
          <w:rFonts w:ascii="Arial Narrow" w:hAnsi="Arial Narrow" w:cs="Arial"/>
          <w:sz w:val="24"/>
          <w:szCs w:val="24"/>
        </w:rPr>
        <w:t xml:space="preserve">  </w:t>
      </w:r>
    </w:p>
    <w:p w:rsidR="00FF3005" w:rsidRDefault="00FF3005" w:rsidP="00FF3005">
      <w:r>
        <w:br w:type="page"/>
      </w:r>
    </w:p>
    <w:p w:rsidR="008D44C3" w:rsidRPr="00CD728B" w:rsidRDefault="008D44C3" w:rsidP="001226FE">
      <w:pPr>
        <w:pStyle w:val="Ttulo1"/>
        <w:rPr>
          <w:rFonts w:ascii="Arial Narrow" w:hAnsi="Arial Narrow" w:cstheme="minorBidi"/>
          <w:b/>
          <w:color w:val="auto"/>
          <w:sz w:val="24"/>
          <w:szCs w:val="24"/>
        </w:rPr>
      </w:pPr>
      <w:bookmarkStart w:id="91" w:name="_Toc14293792"/>
      <w:r w:rsidRPr="00CD728B">
        <w:rPr>
          <w:rFonts w:ascii="Arial Narrow" w:hAnsi="Arial Narrow"/>
          <w:b/>
          <w:color w:val="auto"/>
          <w:sz w:val="24"/>
          <w:szCs w:val="24"/>
        </w:rPr>
        <w:lastRenderedPageBreak/>
        <w:t>CONCLUSIONES</w:t>
      </w:r>
      <w:bookmarkEnd w:id="91"/>
      <w:r w:rsidRPr="00CD728B">
        <w:rPr>
          <w:rFonts w:ascii="Arial Narrow" w:hAnsi="Arial Narrow"/>
          <w:b/>
          <w:color w:val="auto"/>
          <w:sz w:val="24"/>
          <w:szCs w:val="24"/>
        </w:rPr>
        <w:t xml:space="preserve"> </w:t>
      </w:r>
    </w:p>
    <w:p w:rsidR="008D44C3" w:rsidRPr="00CD728B" w:rsidRDefault="008D44C3" w:rsidP="008D44C3">
      <w:pPr>
        <w:spacing w:line="360" w:lineRule="auto"/>
        <w:contextualSpacing/>
        <w:jc w:val="both"/>
        <w:rPr>
          <w:rFonts w:ascii="Arial Narrow" w:hAnsi="Arial Narrow" w:cs="Arial"/>
          <w:b/>
          <w:bCs/>
          <w:sz w:val="24"/>
          <w:szCs w:val="24"/>
        </w:rPr>
      </w:pPr>
    </w:p>
    <w:p w:rsidR="008D44C3" w:rsidRPr="00CD728B" w:rsidRDefault="008D44C3" w:rsidP="008D44C3">
      <w:pPr>
        <w:spacing w:line="360" w:lineRule="auto"/>
        <w:contextualSpacing/>
        <w:jc w:val="both"/>
        <w:rPr>
          <w:rFonts w:ascii="Arial Narrow" w:hAnsi="Arial Narrow" w:cs="Arial"/>
          <w:sz w:val="24"/>
          <w:szCs w:val="24"/>
        </w:rPr>
      </w:pPr>
      <w:r w:rsidRPr="00CD728B">
        <w:rPr>
          <w:rFonts w:ascii="Arial Narrow" w:hAnsi="Arial Narrow" w:cs="Arial"/>
          <w:sz w:val="24"/>
          <w:szCs w:val="24"/>
        </w:rPr>
        <w:t xml:space="preserve">Los sujetos obligados de la Ciudad de México obtuvieron un IGOT promedio de 66.44% un IGOT-PI promedio de 65.08 y un IGOT-PNT promedio de 67.78; ubicándose los tres casos en un cumplimiento parcial bajo respecto de la publicación y actualización de la información y </w:t>
      </w:r>
    </w:p>
    <w:p w:rsidR="008D44C3" w:rsidRPr="00CD728B" w:rsidRDefault="008D44C3" w:rsidP="008D44C3">
      <w:pPr>
        <w:spacing w:line="360" w:lineRule="auto"/>
        <w:contextualSpacing/>
        <w:jc w:val="both"/>
        <w:rPr>
          <w:rFonts w:ascii="Arial Narrow" w:hAnsi="Arial Narrow" w:cs="Arial"/>
          <w:sz w:val="24"/>
          <w:szCs w:val="24"/>
        </w:rPr>
      </w:pPr>
    </w:p>
    <w:p w:rsidR="008D44C3" w:rsidRPr="00CD728B" w:rsidRDefault="008D44C3" w:rsidP="008D44C3">
      <w:pPr>
        <w:spacing w:line="360" w:lineRule="auto"/>
        <w:contextualSpacing/>
        <w:jc w:val="both"/>
        <w:rPr>
          <w:rFonts w:ascii="Arial Narrow" w:hAnsi="Arial Narrow" w:cs="Arial"/>
          <w:sz w:val="24"/>
          <w:szCs w:val="24"/>
        </w:rPr>
      </w:pPr>
      <w:r w:rsidRPr="00CD728B">
        <w:rPr>
          <w:rFonts w:ascii="Arial Narrow" w:hAnsi="Arial Narrow" w:cs="Arial"/>
          <w:sz w:val="24"/>
          <w:szCs w:val="24"/>
        </w:rPr>
        <w:t xml:space="preserve">De igual forma, alcanzaron un Índice Global de Cumplimiento Promedio (IGCP) por Ámbito de Gobierno consistente en </w:t>
      </w:r>
      <w:r w:rsidR="0060462D">
        <w:rPr>
          <w:rFonts w:ascii="Arial Narrow" w:hAnsi="Arial Narrow" w:cs="Arial"/>
          <w:sz w:val="24"/>
          <w:szCs w:val="24"/>
        </w:rPr>
        <w:t>96.4</w:t>
      </w:r>
      <w:r w:rsidRPr="00CD728B">
        <w:rPr>
          <w:rFonts w:ascii="Arial Narrow" w:hAnsi="Arial Narrow" w:cs="Arial"/>
          <w:sz w:val="24"/>
          <w:szCs w:val="24"/>
        </w:rPr>
        <w:t xml:space="preserve"> para el Poder Judicial, 86.15 respecto de los Órganos Autónomos, 80.13 para la Administración Pública Central,</w:t>
      </w:r>
      <w:r w:rsidR="00D5297A">
        <w:rPr>
          <w:rFonts w:ascii="Arial Narrow" w:hAnsi="Arial Narrow" w:cs="Arial"/>
          <w:sz w:val="24"/>
          <w:szCs w:val="24"/>
        </w:rPr>
        <w:t xml:space="preserve"> </w:t>
      </w:r>
      <w:r w:rsidR="00D5297A">
        <w:rPr>
          <w:rFonts w:ascii="Arial Narrow" w:hAnsi="Arial Narrow" w:cs="Arial"/>
          <w:sz w:val="24"/>
          <w:szCs w:val="24"/>
        </w:rPr>
        <w:t>73.26</w:t>
      </w:r>
      <w:r w:rsidR="00D5297A" w:rsidRPr="00CD728B">
        <w:rPr>
          <w:rFonts w:ascii="Arial Narrow" w:hAnsi="Arial Narrow" w:cs="Arial"/>
          <w:sz w:val="24"/>
          <w:szCs w:val="24"/>
        </w:rPr>
        <w:t xml:space="preserve"> para los Organismos Desconcentrados, Descentralizados, Paraestatales y Auxiliares</w:t>
      </w:r>
      <w:r w:rsidR="00D5297A">
        <w:rPr>
          <w:rFonts w:ascii="Arial Narrow" w:hAnsi="Arial Narrow" w:cs="Arial"/>
          <w:sz w:val="24"/>
          <w:szCs w:val="24"/>
        </w:rPr>
        <w:t>,</w:t>
      </w:r>
      <w:r w:rsidR="0060462D" w:rsidRPr="0060462D">
        <w:rPr>
          <w:rFonts w:ascii="Arial Narrow" w:hAnsi="Arial Narrow" w:cs="Arial"/>
          <w:sz w:val="24"/>
          <w:szCs w:val="24"/>
        </w:rPr>
        <w:t xml:space="preserve"> </w:t>
      </w:r>
      <w:r w:rsidR="0060462D">
        <w:rPr>
          <w:rFonts w:ascii="Arial Narrow" w:hAnsi="Arial Narrow" w:cs="Arial"/>
          <w:sz w:val="24"/>
          <w:szCs w:val="24"/>
        </w:rPr>
        <w:t xml:space="preserve">64.89 </w:t>
      </w:r>
      <w:r w:rsidR="0060462D" w:rsidRPr="00CD728B">
        <w:rPr>
          <w:rFonts w:ascii="Arial Narrow" w:hAnsi="Arial Narrow" w:cs="Arial"/>
          <w:sz w:val="24"/>
          <w:szCs w:val="24"/>
        </w:rPr>
        <w:t>para los Partidos Políticos</w:t>
      </w:r>
      <w:r w:rsidR="0060462D">
        <w:rPr>
          <w:rFonts w:ascii="Arial Narrow" w:hAnsi="Arial Narrow" w:cs="Arial"/>
          <w:sz w:val="24"/>
          <w:szCs w:val="24"/>
        </w:rPr>
        <w:t>,</w:t>
      </w:r>
      <w:r w:rsidRPr="00CD728B">
        <w:rPr>
          <w:rFonts w:ascii="Arial Narrow" w:hAnsi="Arial Narrow" w:cs="Arial"/>
          <w:sz w:val="24"/>
          <w:szCs w:val="24"/>
        </w:rPr>
        <w:t xml:space="preserve"> 63.03 respecto del rubro de </w:t>
      </w:r>
      <w:r w:rsidR="007C0694">
        <w:rPr>
          <w:rFonts w:ascii="Arial Narrow" w:hAnsi="Arial Narrow" w:cs="Arial"/>
          <w:sz w:val="24"/>
          <w:szCs w:val="24"/>
        </w:rPr>
        <w:t>Demarcaciones</w:t>
      </w:r>
      <w:r w:rsidR="00D5297A">
        <w:rPr>
          <w:rFonts w:ascii="Arial Narrow" w:hAnsi="Arial Narrow" w:cs="Arial"/>
          <w:sz w:val="24"/>
          <w:szCs w:val="24"/>
        </w:rPr>
        <w:t xml:space="preserve"> Políticas</w:t>
      </w:r>
      <w:r w:rsidRPr="00CD728B">
        <w:rPr>
          <w:rFonts w:ascii="Arial Narrow" w:hAnsi="Arial Narrow" w:cs="Arial"/>
          <w:sz w:val="24"/>
          <w:szCs w:val="24"/>
        </w:rPr>
        <w:t>, 61.71 sobre el Poder Legislativo, y 24.81 respecto de los Sindicatos.</w:t>
      </w:r>
    </w:p>
    <w:p w:rsidR="008D44C3" w:rsidRPr="00CD728B" w:rsidRDefault="008D44C3" w:rsidP="008D44C3">
      <w:pPr>
        <w:spacing w:line="360" w:lineRule="auto"/>
        <w:contextualSpacing/>
        <w:jc w:val="both"/>
        <w:rPr>
          <w:rFonts w:ascii="Arial Narrow" w:hAnsi="Arial Narrow" w:cs="Arial"/>
          <w:sz w:val="24"/>
          <w:szCs w:val="24"/>
        </w:rPr>
      </w:pPr>
    </w:p>
    <w:p w:rsidR="008D44C3" w:rsidRPr="00CD728B" w:rsidRDefault="008D44C3" w:rsidP="008D44C3">
      <w:pPr>
        <w:spacing w:line="360" w:lineRule="auto"/>
        <w:contextualSpacing/>
        <w:jc w:val="both"/>
        <w:rPr>
          <w:rFonts w:ascii="Arial Narrow" w:hAnsi="Arial Narrow" w:cs="Arial"/>
          <w:sz w:val="24"/>
          <w:szCs w:val="24"/>
        </w:rPr>
      </w:pPr>
      <w:r w:rsidRPr="00CD728B">
        <w:rPr>
          <w:rFonts w:ascii="Arial Narrow" w:hAnsi="Arial Narrow" w:cs="Arial"/>
          <w:sz w:val="24"/>
          <w:szCs w:val="24"/>
        </w:rPr>
        <w:t>Las área</w:t>
      </w:r>
      <w:r w:rsidR="00776F07" w:rsidRPr="00CD728B">
        <w:rPr>
          <w:rFonts w:ascii="Arial Narrow" w:hAnsi="Arial Narrow" w:cs="Arial"/>
          <w:sz w:val="24"/>
          <w:szCs w:val="24"/>
        </w:rPr>
        <w:t>s de oportunidad respecto de la</w:t>
      </w:r>
      <w:r w:rsidRPr="00CD728B">
        <w:rPr>
          <w:rFonts w:ascii="Arial Narrow" w:hAnsi="Arial Narrow" w:cs="Arial"/>
          <w:sz w:val="24"/>
          <w:szCs w:val="24"/>
        </w:rPr>
        <w:t xml:space="preserve"> publicación y actualización de las obligaciones de Transparencia por parte de los sujetos obligados en la Ciudad de México son las siguientes: </w:t>
      </w:r>
    </w:p>
    <w:p w:rsidR="008D44C3" w:rsidRPr="00CD728B" w:rsidRDefault="008D44C3" w:rsidP="008D44C3">
      <w:pPr>
        <w:pStyle w:val="Prrafodelista"/>
        <w:numPr>
          <w:ilvl w:val="0"/>
          <w:numId w:val="31"/>
        </w:numPr>
        <w:spacing w:line="360" w:lineRule="auto"/>
        <w:jc w:val="both"/>
        <w:rPr>
          <w:rFonts w:ascii="Arial Narrow" w:hAnsi="Arial Narrow" w:cs="Arial"/>
          <w:sz w:val="24"/>
          <w:szCs w:val="24"/>
        </w:rPr>
      </w:pPr>
      <w:r w:rsidRPr="00CD728B">
        <w:rPr>
          <w:rFonts w:ascii="Arial Narrow" w:hAnsi="Arial Narrow" w:cs="Arial"/>
          <w:sz w:val="24"/>
          <w:szCs w:val="24"/>
        </w:rPr>
        <w:t xml:space="preserve">Los sujetos obligados deben actualizar la información, por lo menos, de manera trimestral en atención al </w:t>
      </w:r>
      <w:r w:rsidR="009D7771">
        <w:rPr>
          <w:rFonts w:ascii="Arial Narrow" w:hAnsi="Arial Narrow" w:cs="Arial"/>
          <w:sz w:val="24"/>
          <w:szCs w:val="24"/>
        </w:rPr>
        <w:t>Artículo</w:t>
      </w:r>
      <w:r w:rsidRPr="00CD728B">
        <w:rPr>
          <w:rFonts w:ascii="Arial Narrow" w:hAnsi="Arial Narrow" w:cs="Arial"/>
          <w:sz w:val="24"/>
          <w:szCs w:val="24"/>
        </w:rPr>
        <w:t xml:space="preserve"> 116 de la Ley de Transparencia Local. </w:t>
      </w:r>
    </w:p>
    <w:p w:rsidR="00776F07" w:rsidRPr="00CD728B" w:rsidRDefault="00776F07" w:rsidP="00776F07">
      <w:pPr>
        <w:pStyle w:val="Prrafodelista"/>
        <w:spacing w:line="360" w:lineRule="auto"/>
        <w:jc w:val="both"/>
        <w:rPr>
          <w:rFonts w:ascii="Arial Narrow" w:hAnsi="Arial Narrow" w:cs="Arial"/>
          <w:sz w:val="24"/>
          <w:szCs w:val="24"/>
        </w:rPr>
      </w:pPr>
    </w:p>
    <w:p w:rsidR="00776F07" w:rsidRPr="00CD728B" w:rsidRDefault="008D44C3" w:rsidP="00776F07">
      <w:pPr>
        <w:pStyle w:val="Prrafodelista"/>
        <w:numPr>
          <w:ilvl w:val="0"/>
          <w:numId w:val="31"/>
        </w:numPr>
        <w:spacing w:line="360" w:lineRule="auto"/>
        <w:jc w:val="both"/>
        <w:rPr>
          <w:rFonts w:ascii="Arial Narrow" w:hAnsi="Arial Narrow" w:cs="Arial"/>
          <w:sz w:val="24"/>
          <w:szCs w:val="24"/>
        </w:rPr>
      </w:pPr>
      <w:r w:rsidRPr="00CD728B">
        <w:rPr>
          <w:rFonts w:ascii="Arial Narrow" w:hAnsi="Arial Narrow" w:cs="Arial"/>
          <w:sz w:val="24"/>
          <w:szCs w:val="24"/>
        </w:rPr>
        <w:t xml:space="preserve">En el supuesto de no contar con la información que mandata la norma, los sujetos obligados deberán explicar en lenguaje ciudadano con base en los fundamentos legales y las causas específicas que originaron la ausencia de la misma; así como, el procedimiento que están llevando a cabo para la generación o recuperación de la información. </w:t>
      </w:r>
    </w:p>
    <w:p w:rsidR="00776F07" w:rsidRPr="00CD728B" w:rsidRDefault="00776F07" w:rsidP="00776F07">
      <w:pPr>
        <w:pStyle w:val="Prrafodelista"/>
        <w:spacing w:line="360" w:lineRule="auto"/>
        <w:jc w:val="both"/>
        <w:rPr>
          <w:rFonts w:ascii="Arial Narrow" w:hAnsi="Arial Narrow" w:cs="Arial"/>
          <w:sz w:val="24"/>
          <w:szCs w:val="24"/>
        </w:rPr>
      </w:pPr>
    </w:p>
    <w:p w:rsidR="00776F07" w:rsidRPr="00CD728B" w:rsidRDefault="008D44C3" w:rsidP="00776F07">
      <w:pPr>
        <w:pStyle w:val="Prrafodelista"/>
        <w:numPr>
          <w:ilvl w:val="0"/>
          <w:numId w:val="31"/>
        </w:numPr>
        <w:spacing w:line="360" w:lineRule="auto"/>
        <w:jc w:val="both"/>
        <w:rPr>
          <w:rFonts w:ascii="Arial Narrow" w:hAnsi="Arial Narrow" w:cs="Arial"/>
          <w:sz w:val="24"/>
          <w:szCs w:val="24"/>
        </w:rPr>
      </w:pPr>
      <w:r w:rsidRPr="00CD728B">
        <w:rPr>
          <w:rFonts w:ascii="Arial Narrow" w:hAnsi="Arial Narrow" w:cs="Arial"/>
          <w:sz w:val="24"/>
          <w:szCs w:val="24"/>
        </w:rPr>
        <w:t>Los sujetos obligados deben publicar el calendario de actualización; a través del cual se explica a la sociedad cuál es la información que por sus facultades, competencias y funciones generan, utilizan, poseen o administran y en qué periodos deben de publicarla y actualizarla.</w:t>
      </w:r>
    </w:p>
    <w:p w:rsidR="00776F07" w:rsidRPr="00CD728B" w:rsidRDefault="00776F07" w:rsidP="00776F07">
      <w:pPr>
        <w:pStyle w:val="Prrafodelista"/>
        <w:spacing w:line="360" w:lineRule="auto"/>
        <w:jc w:val="both"/>
        <w:rPr>
          <w:rFonts w:ascii="Arial Narrow" w:hAnsi="Arial Narrow" w:cs="Arial"/>
          <w:sz w:val="24"/>
          <w:szCs w:val="24"/>
        </w:rPr>
      </w:pPr>
    </w:p>
    <w:p w:rsidR="00776F07" w:rsidRPr="00CD728B" w:rsidRDefault="008D44C3" w:rsidP="00776F07">
      <w:pPr>
        <w:pStyle w:val="Prrafodelista"/>
        <w:numPr>
          <w:ilvl w:val="0"/>
          <w:numId w:val="31"/>
        </w:numPr>
        <w:spacing w:line="360" w:lineRule="auto"/>
        <w:jc w:val="both"/>
        <w:rPr>
          <w:rFonts w:ascii="Arial Narrow" w:hAnsi="Arial Narrow" w:cs="Arial"/>
          <w:sz w:val="24"/>
          <w:szCs w:val="24"/>
        </w:rPr>
      </w:pPr>
      <w:r w:rsidRPr="00CD728B">
        <w:rPr>
          <w:rFonts w:ascii="Arial Narrow" w:hAnsi="Arial Narrow" w:cs="Arial"/>
          <w:sz w:val="24"/>
          <w:szCs w:val="24"/>
        </w:rPr>
        <w:lastRenderedPageBreak/>
        <w:t xml:space="preserve">Aunque la mayoría de los sujetos obligados cuentan con un acceso directo dentro de su portal institucional a la sección de transparencia, la información ahí provista no es accesible o no cuenta con los criterios mínimos dispuestos en lo que se refiere a formatos accesibles y datos abiertos. </w:t>
      </w:r>
    </w:p>
    <w:p w:rsidR="00776F07" w:rsidRPr="00CD728B" w:rsidRDefault="00776F07" w:rsidP="00776F07">
      <w:pPr>
        <w:pStyle w:val="Prrafodelista"/>
        <w:spacing w:line="360" w:lineRule="auto"/>
        <w:jc w:val="both"/>
        <w:rPr>
          <w:rFonts w:ascii="Arial Narrow" w:hAnsi="Arial Narrow" w:cs="Arial"/>
          <w:sz w:val="24"/>
          <w:szCs w:val="24"/>
        </w:rPr>
      </w:pPr>
    </w:p>
    <w:p w:rsidR="00776F07" w:rsidRPr="00CD728B" w:rsidRDefault="008D44C3" w:rsidP="00776F07">
      <w:pPr>
        <w:pStyle w:val="Prrafodelista"/>
        <w:numPr>
          <w:ilvl w:val="0"/>
          <w:numId w:val="31"/>
        </w:numPr>
        <w:spacing w:line="360" w:lineRule="auto"/>
        <w:jc w:val="both"/>
        <w:rPr>
          <w:rFonts w:ascii="Arial Narrow" w:hAnsi="Arial Narrow" w:cs="Arial"/>
          <w:sz w:val="24"/>
          <w:szCs w:val="24"/>
        </w:rPr>
      </w:pPr>
      <w:r w:rsidRPr="00CD728B">
        <w:rPr>
          <w:rFonts w:ascii="Arial Narrow" w:hAnsi="Arial Narrow" w:cs="Arial"/>
          <w:sz w:val="24"/>
          <w:szCs w:val="24"/>
        </w:rPr>
        <w:t xml:space="preserve">Las ligas electrónicas no siempre otorgan acceso específico a la información mencionada o simplemente no están en funcionamiento. </w:t>
      </w:r>
    </w:p>
    <w:p w:rsidR="008D44C3" w:rsidRPr="00CD728B" w:rsidRDefault="008D44C3" w:rsidP="008D44C3">
      <w:pPr>
        <w:spacing w:line="360" w:lineRule="auto"/>
        <w:contextualSpacing/>
        <w:jc w:val="both"/>
        <w:rPr>
          <w:rFonts w:ascii="Arial Narrow" w:hAnsi="Arial Narrow" w:cs="Arial"/>
          <w:sz w:val="24"/>
          <w:szCs w:val="24"/>
        </w:rPr>
      </w:pPr>
      <w:r w:rsidRPr="00CD728B">
        <w:rPr>
          <w:rFonts w:ascii="Arial Narrow" w:hAnsi="Arial Narrow" w:cs="Arial"/>
          <w:sz w:val="24"/>
          <w:szCs w:val="24"/>
        </w:rPr>
        <w:t>En concordancia con lo anterior, se desprenden las siguientes líneas de acción:</w:t>
      </w:r>
    </w:p>
    <w:p w:rsidR="008D44C3" w:rsidRPr="00CD728B" w:rsidRDefault="008D44C3" w:rsidP="008D44C3">
      <w:pPr>
        <w:pStyle w:val="Prrafodelista"/>
        <w:numPr>
          <w:ilvl w:val="0"/>
          <w:numId w:val="32"/>
        </w:numPr>
        <w:spacing w:line="360" w:lineRule="auto"/>
        <w:jc w:val="both"/>
        <w:rPr>
          <w:rFonts w:ascii="Arial Narrow" w:hAnsi="Arial Narrow" w:cs="Arial"/>
          <w:sz w:val="24"/>
          <w:szCs w:val="24"/>
        </w:rPr>
      </w:pPr>
      <w:r w:rsidRPr="00CD728B">
        <w:rPr>
          <w:rFonts w:ascii="Arial Narrow" w:hAnsi="Arial Narrow" w:cs="Arial"/>
          <w:sz w:val="24"/>
          <w:szCs w:val="24"/>
        </w:rPr>
        <w:t>En el mes de agosto se realizará  la Segunda Evaluación Vinculante 2019, respecto del primer semestre del año.</w:t>
      </w:r>
    </w:p>
    <w:p w:rsidR="00776F07" w:rsidRPr="00CD728B" w:rsidRDefault="00776F07" w:rsidP="00776F07">
      <w:pPr>
        <w:pStyle w:val="Prrafodelista"/>
        <w:spacing w:line="360" w:lineRule="auto"/>
        <w:jc w:val="both"/>
        <w:rPr>
          <w:rFonts w:ascii="Arial Narrow" w:hAnsi="Arial Narrow" w:cs="Arial"/>
          <w:sz w:val="24"/>
          <w:szCs w:val="24"/>
        </w:rPr>
      </w:pPr>
    </w:p>
    <w:p w:rsidR="00776F07" w:rsidRPr="00CD728B" w:rsidRDefault="008D44C3" w:rsidP="00776F07">
      <w:pPr>
        <w:pStyle w:val="Prrafodelista"/>
        <w:numPr>
          <w:ilvl w:val="0"/>
          <w:numId w:val="32"/>
        </w:numPr>
        <w:spacing w:line="360" w:lineRule="auto"/>
        <w:jc w:val="both"/>
        <w:rPr>
          <w:rFonts w:ascii="Arial Narrow" w:hAnsi="Arial Narrow" w:cs="Arial"/>
          <w:sz w:val="24"/>
          <w:szCs w:val="24"/>
        </w:rPr>
      </w:pPr>
      <w:r w:rsidRPr="00CD728B">
        <w:rPr>
          <w:rFonts w:ascii="Arial Narrow" w:hAnsi="Arial Narrow" w:cs="Arial"/>
          <w:sz w:val="24"/>
          <w:szCs w:val="24"/>
        </w:rPr>
        <w:t>En el mes de septiembre se verificará el cumplimiento de las recomendaciones realizadas a los sujetos obligados a través de los dictámenes de la Primera Evaluación Vinculante 2019.</w:t>
      </w:r>
    </w:p>
    <w:p w:rsidR="00776F07" w:rsidRPr="00CD728B" w:rsidRDefault="00776F07" w:rsidP="00776F07">
      <w:pPr>
        <w:pStyle w:val="Prrafodelista"/>
        <w:spacing w:line="360" w:lineRule="auto"/>
        <w:jc w:val="both"/>
        <w:rPr>
          <w:rFonts w:ascii="Arial Narrow" w:hAnsi="Arial Narrow" w:cs="Arial"/>
          <w:sz w:val="24"/>
          <w:szCs w:val="24"/>
        </w:rPr>
      </w:pPr>
    </w:p>
    <w:p w:rsidR="008D44C3" w:rsidRPr="00CD728B" w:rsidRDefault="008D44C3" w:rsidP="008D44C3">
      <w:pPr>
        <w:pStyle w:val="Prrafodelista"/>
        <w:numPr>
          <w:ilvl w:val="0"/>
          <w:numId w:val="32"/>
        </w:numPr>
        <w:spacing w:line="360" w:lineRule="auto"/>
        <w:jc w:val="both"/>
        <w:rPr>
          <w:rFonts w:ascii="Arial Narrow" w:hAnsi="Arial Narrow" w:cs="Arial"/>
          <w:sz w:val="24"/>
          <w:szCs w:val="24"/>
        </w:rPr>
      </w:pPr>
      <w:r w:rsidRPr="00CD728B">
        <w:rPr>
          <w:rFonts w:ascii="Arial Narrow" w:hAnsi="Arial Narrow" w:cs="Arial"/>
          <w:sz w:val="24"/>
          <w:szCs w:val="24"/>
        </w:rPr>
        <w:t xml:space="preserve">Se continuará brindando a los sujetos obligados que lo soliciten, así como de forma oficiosa por ámbito de gobierno Asesorías Técnicas Especializadas respecto publicación y actualización de las Obligaciones de Transparencia. </w:t>
      </w:r>
    </w:p>
    <w:p w:rsidR="00776F07" w:rsidRPr="00CD728B" w:rsidRDefault="00776F07" w:rsidP="00776F07">
      <w:pPr>
        <w:pStyle w:val="Prrafodelista"/>
        <w:spacing w:line="360" w:lineRule="auto"/>
        <w:jc w:val="both"/>
        <w:rPr>
          <w:rFonts w:ascii="Arial Narrow" w:hAnsi="Arial Narrow" w:cs="Arial"/>
          <w:sz w:val="24"/>
          <w:szCs w:val="24"/>
        </w:rPr>
      </w:pPr>
    </w:p>
    <w:p w:rsidR="00776F07" w:rsidRPr="00CD728B" w:rsidRDefault="008D44C3" w:rsidP="00776F07">
      <w:pPr>
        <w:pStyle w:val="Prrafodelista"/>
        <w:numPr>
          <w:ilvl w:val="0"/>
          <w:numId w:val="32"/>
        </w:numPr>
        <w:spacing w:line="360" w:lineRule="auto"/>
        <w:jc w:val="both"/>
        <w:rPr>
          <w:rFonts w:ascii="Arial Narrow" w:hAnsi="Arial Narrow" w:cs="Arial"/>
          <w:sz w:val="24"/>
          <w:szCs w:val="24"/>
        </w:rPr>
      </w:pPr>
      <w:r w:rsidRPr="00CD728B">
        <w:rPr>
          <w:rFonts w:ascii="Arial Narrow" w:hAnsi="Arial Narrow" w:cs="Arial"/>
          <w:sz w:val="24"/>
          <w:szCs w:val="24"/>
        </w:rPr>
        <w:t xml:space="preserve">Se buscará aprovechar las lecciones de esta evaluación para subsanar en el corto plazo las omisiones detectadas y asegurar el cumplimiento del total de obligaciones para que las personas puedan aprovechar la información correspondiente. De manera paralela al cumplimiento de las obligaciones de transparencia se buscará promover la transparencia proactiva y la difusión de información de interés público. </w:t>
      </w:r>
    </w:p>
    <w:p w:rsidR="00776F07" w:rsidRPr="00CD728B" w:rsidRDefault="00776F07" w:rsidP="00776F07">
      <w:pPr>
        <w:pStyle w:val="Prrafodelista"/>
        <w:spacing w:line="360" w:lineRule="auto"/>
        <w:jc w:val="both"/>
        <w:rPr>
          <w:rFonts w:ascii="Arial Narrow" w:hAnsi="Arial Narrow" w:cs="Arial"/>
          <w:sz w:val="24"/>
          <w:szCs w:val="24"/>
        </w:rPr>
      </w:pPr>
    </w:p>
    <w:p w:rsidR="006C3FD4" w:rsidRPr="00CD728B" w:rsidRDefault="008D44C3" w:rsidP="00776F07">
      <w:pPr>
        <w:pStyle w:val="Prrafodelista"/>
        <w:numPr>
          <w:ilvl w:val="0"/>
          <w:numId w:val="32"/>
        </w:numPr>
        <w:spacing w:line="360" w:lineRule="auto"/>
        <w:jc w:val="both"/>
        <w:rPr>
          <w:rFonts w:ascii="Arial Narrow" w:hAnsi="Arial Narrow" w:cs="Arial"/>
          <w:sz w:val="24"/>
          <w:szCs w:val="24"/>
        </w:rPr>
      </w:pPr>
      <w:r w:rsidRPr="00CD728B">
        <w:rPr>
          <w:rFonts w:ascii="Arial Narrow" w:hAnsi="Arial Narrow" w:cs="Arial"/>
          <w:sz w:val="24"/>
          <w:szCs w:val="24"/>
        </w:rPr>
        <w:t xml:space="preserve">Como órgano garante, el Instituto promoverá un análisis más detenido de los factores que hicieron posible este resultado, identificando las buenas prácticas que existen en su trabajo y </w:t>
      </w:r>
      <w:r w:rsidRPr="00CD728B">
        <w:rPr>
          <w:rFonts w:ascii="Arial Narrow" w:hAnsi="Arial Narrow" w:cs="Arial"/>
          <w:sz w:val="24"/>
          <w:szCs w:val="24"/>
        </w:rPr>
        <w:lastRenderedPageBreak/>
        <w:t>socializándolas a fin de facilitar que otros sujetos obligados puedan alcanzar el mismo resultado en las próximas evaluaciones</w:t>
      </w:r>
    </w:p>
    <w:sectPr w:rsidR="006C3FD4" w:rsidRPr="00CD728B" w:rsidSect="003C53E8">
      <w:headerReference w:type="default" r:id="rId46"/>
      <w:footerReference w:type="default" r:id="rId47"/>
      <w:type w:val="continuous"/>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63F8" w:rsidRDefault="00BA63F8" w:rsidP="00F0452A">
      <w:pPr>
        <w:spacing w:after="0" w:line="240" w:lineRule="auto"/>
      </w:pPr>
      <w:r>
        <w:separator/>
      </w:r>
    </w:p>
  </w:endnote>
  <w:endnote w:type="continuationSeparator" w:id="0">
    <w:p w:rsidR="00BA63F8" w:rsidRDefault="00BA63F8" w:rsidP="00F045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8452611"/>
      <w:docPartObj>
        <w:docPartGallery w:val="Page Numbers (Bottom of Page)"/>
        <w:docPartUnique/>
      </w:docPartObj>
    </w:sdtPr>
    <w:sdtContent>
      <w:p w:rsidR="007C0694" w:rsidRDefault="007C0694">
        <w:pPr>
          <w:pStyle w:val="Piedepgina"/>
          <w:jc w:val="right"/>
        </w:pPr>
        <w:r>
          <w:rPr>
            <w:noProof/>
            <w:lang w:val="es-MX" w:eastAsia="es-MX"/>
          </w:rPr>
          <w:drawing>
            <wp:anchor distT="0" distB="0" distL="114300" distR="114300" simplePos="0" relativeHeight="251661312" behindDoc="0" locked="0" layoutInCell="1" allowOverlap="1" wp14:anchorId="7E7E3EEF" wp14:editId="4C4142F2">
              <wp:simplePos x="0" y="0"/>
              <wp:positionH relativeFrom="column">
                <wp:posOffset>-981710</wp:posOffset>
              </wp:positionH>
              <wp:positionV relativeFrom="paragraph">
                <wp:posOffset>93980</wp:posOffset>
              </wp:positionV>
              <wp:extent cx="7673975" cy="392430"/>
              <wp:effectExtent l="0" t="0" r="0" b="7620"/>
              <wp:wrapTight wrapText="bothSides">
                <wp:wrapPolygon edited="0">
                  <wp:start x="4611" y="0"/>
                  <wp:lineTo x="429" y="9437"/>
                  <wp:lineTo x="429" y="14680"/>
                  <wp:lineTo x="4343" y="18874"/>
                  <wp:lineTo x="4343" y="20971"/>
                  <wp:lineTo x="20965" y="20971"/>
                  <wp:lineTo x="21019" y="18874"/>
                  <wp:lineTo x="21073" y="0"/>
                  <wp:lineTo x="4611" y="0"/>
                </wp:wrapPolygon>
              </wp:wrapTight>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t="19643" b="23839"/>
                      <a:stretch>
                        <a:fillRect/>
                      </a:stretch>
                    </pic:blipFill>
                    <pic:spPr bwMode="auto">
                      <a:xfrm>
                        <a:off x="0" y="0"/>
                        <a:ext cx="7673975" cy="39243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CE28A8" w:rsidRPr="00CE28A8">
          <w:rPr>
            <w:noProof/>
            <w:lang w:val="es-ES"/>
          </w:rPr>
          <w:t>111</w:t>
        </w:r>
        <w:r>
          <w:fldChar w:fldCharType="end"/>
        </w:r>
      </w:p>
    </w:sdtContent>
  </w:sdt>
  <w:p w:rsidR="007C0694" w:rsidRPr="00E724ED" w:rsidRDefault="007C0694" w:rsidP="00E724ED">
    <w:pPr>
      <w:pStyle w:val="Piedepgina"/>
      <w:jc w:val="center"/>
      <w:rPr>
        <w:caps/>
        <w:color w:val="5B9BD5" w:themeColor="accent1"/>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63F8" w:rsidRDefault="00BA63F8" w:rsidP="00F0452A">
      <w:pPr>
        <w:spacing w:after="0" w:line="240" w:lineRule="auto"/>
      </w:pPr>
      <w:r>
        <w:separator/>
      </w:r>
    </w:p>
  </w:footnote>
  <w:footnote w:type="continuationSeparator" w:id="0">
    <w:p w:rsidR="00BA63F8" w:rsidRDefault="00BA63F8" w:rsidP="00F0452A">
      <w:pPr>
        <w:spacing w:after="0" w:line="240" w:lineRule="auto"/>
      </w:pPr>
      <w:r>
        <w:continuationSeparator/>
      </w:r>
    </w:p>
  </w:footnote>
  <w:footnote w:id="1">
    <w:p w:rsidR="007C0694" w:rsidRPr="007014A4" w:rsidRDefault="007C0694" w:rsidP="007014A4">
      <w:pPr>
        <w:pStyle w:val="Textonotapie"/>
        <w:contextualSpacing/>
        <w:jc w:val="both"/>
        <w:rPr>
          <w:rFonts w:ascii="Arial Narrow" w:hAnsi="Arial Narrow"/>
          <w:sz w:val="18"/>
          <w:szCs w:val="18"/>
        </w:rPr>
      </w:pPr>
      <w:r w:rsidRPr="00F0452A">
        <w:rPr>
          <w:rStyle w:val="Refdenotaalpie"/>
          <w:rFonts w:ascii="Arial Narrow" w:hAnsi="Arial Narrow"/>
        </w:rPr>
        <w:footnoteRef/>
      </w:r>
      <w:r w:rsidRPr="00F0452A">
        <w:rPr>
          <w:rFonts w:ascii="Arial Narrow" w:hAnsi="Arial Narrow"/>
        </w:rPr>
        <w:t xml:space="preserve"> </w:t>
      </w:r>
      <w:r w:rsidRPr="007014A4">
        <w:rPr>
          <w:rFonts w:ascii="Arial Narrow" w:hAnsi="Arial Narrow" w:cs="Arial"/>
          <w:sz w:val="18"/>
          <w:szCs w:val="18"/>
        </w:rPr>
        <w:t>Consejería Jurídica y de Servicios Legales, Contraloría General del Distrito Federal, Jefatura de Gobierno del Distrito Federal, Secretaría de Ciencia, Tecnología e Innovación, Secretaría de Desarrollo Económico, Secretaría de Desarrollo Rural y Equidad para las Comunidades, Secretaría de Desarrollo Urbano y Vivienda, Secretaría de Educación, Secretaría de Gobierno, Secretaría de Movilidad, Secretaría de Obras y Servicios, Secretaría de Salud, Secretaría de Seguridad Pública y Secretaría del Medio Ambiente.</w:t>
      </w:r>
    </w:p>
  </w:footnote>
  <w:footnote w:id="2">
    <w:p w:rsidR="007C0694" w:rsidRPr="007014A4" w:rsidRDefault="007C0694" w:rsidP="007014A4">
      <w:pPr>
        <w:pStyle w:val="Textonotapie"/>
        <w:contextualSpacing/>
        <w:jc w:val="both"/>
        <w:rPr>
          <w:rFonts w:ascii="Arial Narrow" w:hAnsi="Arial Narrow"/>
          <w:sz w:val="18"/>
          <w:szCs w:val="18"/>
        </w:rPr>
      </w:pPr>
      <w:r w:rsidRPr="007014A4">
        <w:rPr>
          <w:rStyle w:val="Refdenotaalpie"/>
          <w:rFonts w:ascii="Arial Narrow" w:hAnsi="Arial Narrow"/>
          <w:sz w:val="18"/>
          <w:szCs w:val="18"/>
        </w:rPr>
        <w:footnoteRef/>
      </w:r>
      <w:r w:rsidRPr="007014A4">
        <w:rPr>
          <w:rFonts w:ascii="Arial Narrow" w:hAnsi="Arial Narrow"/>
          <w:sz w:val="18"/>
          <w:szCs w:val="18"/>
        </w:rPr>
        <w:t xml:space="preserve"> </w:t>
      </w:r>
      <w:r w:rsidRPr="007014A4">
        <w:rPr>
          <w:rFonts w:ascii="Arial Narrow" w:hAnsi="Arial Narrow" w:cs="Arial"/>
          <w:sz w:val="18"/>
          <w:szCs w:val="18"/>
        </w:rPr>
        <w:t xml:space="preserve">Comisión para la Reconstrucción, Recuperación y Transformación de la Ciudad de México, en una CDMX cada vez más </w:t>
      </w:r>
      <w:proofErr w:type="spellStart"/>
      <w:r w:rsidRPr="007014A4">
        <w:rPr>
          <w:rFonts w:ascii="Arial Narrow" w:hAnsi="Arial Narrow" w:cs="Arial"/>
          <w:sz w:val="18"/>
          <w:szCs w:val="18"/>
        </w:rPr>
        <w:t>resiliente</w:t>
      </w:r>
      <w:proofErr w:type="spellEnd"/>
      <w:r w:rsidRPr="007014A4">
        <w:rPr>
          <w:rFonts w:ascii="Arial Narrow" w:hAnsi="Arial Narrow" w:cs="Arial"/>
          <w:sz w:val="18"/>
          <w:szCs w:val="18"/>
        </w:rPr>
        <w:t>, Oficialía Mayor, Secretaría de Protección Civil y Secretaría de Turismo.</w:t>
      </w:r>
    </w:p>
  </w:footnote>
  <w:footnote w:id="3">
    <w:p w:rsidR="007C0694" w:rsidRPr="007014A4" w:rsidRDefault="007C0694" w:rsidP="007014A4">
      <w:pPr>
        <w:pStyle w:val="Textonotapie"/>
        <w:jc w:val="both"/>
        <w:rPr>
          <w:rFonts w:ascii="Arial Narrow" w:hAnsi="Arial Narrow"/>
          <w:sz w:val="18"/>
          <w:szCs w:val="18"/>
        </w:rPr>
      </w:pPr>
      <w:r w:rsidRPr="007014A4">
        <w:rPr>
          <w:rStyle w:val="Refdenotaalpie"/>
          <w:rFonts w:ascii="Arial Narrow" w:hAnsi="Arial Narrow"/>
          <w:sz w:val="18"/>
          <w:szCs w:val="18"/>
        </w:rPr>
        <w:footnoteRef/>
      </w:r>
      <w:r w:rsidRPr="007014A4">
        <w:rPr>
          <w:rFonts w:ascii="Arial Narrow" w:hAnsi="Arial Narrow"/>
          <w:sz w:val="18"/>
          <w:szCs w:val="18"/>
        </w:rPr>
        <w:t xml:space="preserve"> Comisión para la Reconstrucción, Recuperación y Transformación de la Ciudad de México, en una CDMX cada vez más </w:t>
      </w:r>
      <w:proofErr w:type="spellStart"/>
      <w:r w:rsidRPr="007014A4">
        <w:rPr>
          <w:rFonts w:ascii="Arial Narrow" w:hAnsi="Arial Narrow"/>
          <w:sz w:val="18"/>
          <w:szCs w:val="18"/>
        </w:rPr>
        <w:t>resiliente</w:t>
      </w:r>
      <w:proofErr w:type="spellEnd"/>
      <w:r w:rsidRPr="007014A4">
        <w:rPr>
          <w:rFonts w:ascii="Arial Narrow" w:hAnsi="Arial Narrow"/>
          <w:sz w:val="18"/>
          <w:szCs w:val="18"/>
        </w:rPr>
        <w:t>, Consejería Jurídica y de Servicios Legales, Contraloría General del Distrito Federal, Jefatura de Gobierno del Distrito Federal, Secretaría de Ciencia, Tecnología e Innovación, Secretaría de Desarrollo Económico, Secretaría de Desarrollo Rural y Equidad para las Comunidades, Secretaría de Desarrollo Urbano y Vivienda, Secretaría de Educación, Secretaría de Gobierno, Secretaría de Movilidad, Secretaría de Obras y Servicios, Secretaría de Protección Civil, Secretaría de Salud, Secretaría de Seguridad Pública, Secretaría de Turismo y Secretaría del Medio Ambiente.</w:t>
      </w:r>
    </w:p>
  </w:footnote>
  <w:footnote w:id="4">
    <w:p w:rsidR="007C0694" w:rsidRPr="007014A4" w:rsidRDefault="007C0694" w:rsidP="007014A4">
      <w:pPr>
        <w:pStyle w:val="Textonotapie"/>
        <w:jc w:val="both"/>
        <w:rPr>
          <w:rFonts w:ascii="Arial Narrow" w:hAnsi="Arial Narrow"/>
          <w:sz w:val="18"/>
          <w:szCs w:val="18"/>
        </w:rPr>
      </w:pPr>
      <w:r w:rsidRPr="007014A4">
        <w:rPr>
          <w:rStyle w:val="Refdenotaalpie"/>
          <w:rFonts w:ascii="Arial Narrow" w:hAnsi="Arial Narrow"/>
          <w:sz w:val="18"/>
          <w:szCs w:val="18"/>
        </w:rPr>
        <w:footnoteRef/>
      </w:r>
      <w:r w:rsidRPr="007014A4">
        <w:rPr>
          <w:rFonts w:ascii="Arial Narrow" w:hAnsi="Arial Narrow"/>
          <w:sz w:val="18"/>
          <w:szCs w:val="18"/>
        </w:rPr>
        <w:t xml:space="preserve"> Oficialía Mayor, Procuraduría General de Justicia del Distrito Federal, Secretaría de Cultura y Secretaría de Trabajo y Fomento al Empleo.</w:t>
      </w:r>
    </w:p>
  </w:footnote>
  <w:footnote w:id="5">
    <w:p w:rsidR="007C0694" w:rsidRPr="007014A4" w:rsidRDefault="007C0694" w:rsidP="007014A4">
      <w:pPr>
        <w:pStyle w:val="Textonotapie"/>
        <w:jc w:val="both"/>
        <w:rPr>
          <w:rFonts w:ascii="Arial Narrow" w:hAnsi="Arial Narrow"/>
          <w:sz w:val="18"/>
          <w:szCs w:val="18"/>
        </w:rPr>
      </w:pPr>
      <w:r w:rsidRPr="007014A4">
        <w:rPr>
          <w:rStyle w:val="Refdenotaalpie"/>
          <w:rFonts w:ascii="Arial Narrow" w:hAnsi="Arial Narrow"/>
          <w:sz w:val="18"/>
          <w:szCs w:val="18"/>
        </w:rPr>
        <w:footnoteRef/>
      </w:r>
      <w:r w:rsidRPr="007014A4">
        <w:rPr>
          <w:rFonts w:ascii="Arial Narrow" w:hAnsi="Arial Narrow"/>
          <w:sz w:val="18"/>
          <w:szCs w:val="18"/>
        </w:rPr>
        <w:t xml:space="preserve"> Secretaría de Cultura, Secretaría de Desarrollo Social y Secretaría de Educación.</w:t>
      </w:r>
    </w:p>
  </w:footnote>
  <w:footnote w:id="6">
    <w:p w:rsidR="007C0694" w:rsidRPr="007014A4" w:rsidRDefault="007C0694" w:rsidP="007014A4">
      <w:pPr>
        <w:pStyle w:val="Textonotapie"/>
        <w:jc w:val="both"/>
        <w:rPr>
          <w:rFonts w:ascii="Arial Narrow" w:hAnsi="Arial Narrow"/>
          <w:sz w:val="18"/>
          <w:szCs w:val="18"/>
        </w:rPr>
      </w:pPr>
      <w:r w:rsidRPr="007014A4">
        <w:rPr>
          <w:rStyle w:val="Refdenotaalpie"/>
          <w:rFonts w:ascii="Arial Narrow" w:hAnsi="Arial Narrow"/>
          <w:sz w:val="18"/>
          <w:szCs w:val="18"/>
        </w:rPr>
        <w:footnoteRef/>
      </w:r>
      <w:r w:rsidRPr="007014A4">
        <w:rPr>
          <w:rFonts w:ascii="Arial Narrow" w:hAnsi="Arial Narrow"/>
          <w:sz w:val="18"/>
          <w:szCs w:val="18"/>
        </w:rPr>
        <w:t xml:space="preserve"> Secretaría del Medio Ambiente, Secretaría de Trabajo y Fomento al Empleo y Secretaría de Desarrollo Rural y Equidad para las Comunidades.</w:t>
      </w:r>
    </w:p>
  </w:footnote>
  <w:footnote w:id="7">
    <w:p w:rsidR="007C0694" w:rsidRPr="007014A4" w:rsidRDefault="007C0694" w:rsidP="007014A4">
      <w:pPr>
        <w:pStyle w:val="Textonotapie"/>
        <w:jc w:val="both"/>
        <w:rPr>
          <w:rFonts w:ascii="Arial Narrow" w:hAnsi="Arial Narrow"/>
          <w:sz w:val="18"/>
          <w:szCs w:val="18"/>
        </w:rPr>
      </w:pPr>
      <w:r w:rsidRPr="007014A4">
        <w:rPr>
          <w:rStyle w:val="Refdenotaalpie"/>
          <w:rFonts w:ascii="Arial Narrow" w:hAnsi="Arial Narrow"/>
          <w:sz w:val="18"/>
          <w:szCs w:val="18"/>
        </w:rPr>
        <w:footnoteRef/>
      </w:r>
      <w:r w:rsidRPr="007014A4">
        <w:rPr>
          <w:rFonts w:ascii="Arial Narrow" w:hAnsi="Arial Narrow"/>
          <w:sz w:val="18"/>
          <w:szCs w:val="18"/>
        </w:rPr>
        <w:t xml:space="preserve"> Secretaría de Desarrollo Social, Secretaría de Desarrollo Económico, Secretaría de Finanzas y Secretaría de Obras y Servicios.</w:t>
      </w:r>
    </w:p>
  </w:footnote>
  <w:footnote w:id="8">
    <w:p w:rsidR="007C0694" w:rsidRPr="007014A4" w:rsidRDefault="007C0694" w:rsidP="007014A4">
      <w:pPr>
        <w:pStyle w:val="Textonotapie"/>
        <w:jc w:val="both"/>
        <w:rPr>
          <w:rFonts w:ascii="Arial Narrow" w:hAnsi="Arial Narrow"/>
          <w:sz w:val="18"/>
          <w:szCs w:val="18"/>
        </w:rPr>
      </w:pPr>
      <w:r w:rsidRPr="007014A4">
        <w:rPr>
          <w:rStyle w:val="Refdenotaalpie"/>
          <w:rFonts w:ascii="Arial Narrow" w:hAnsi="Arial Narrow"/>
          <w:sz w:val="18"/>
          <w:szCs w:val="18"/>
        </w:rPr>
        <w:footnoteRef/>
      </w:r>
      <w:r w:rsidRPr="007014A4">
        <w:rPr>
          <w:rFonts w:ascii="Arial Narrow" w:hAnsi="Arial Narrow"/>
          <w:sz w:val="18"/>
          <w:szCs w:val="18"/>
        </w:rPr>
        <w:t xml:space="preserve"> Secretaría del Medio Ambiente, Secretaría de Seguridad Pública, Secretaría de Salud, Secretaría de Movilidad, Secretaría de Gobierno, Secretaría de Educación, Secretaría de Desarrollo Urbano y Vivienda, Secretaría de Desarrollo Rural y Equidad para las Comunidades, Secretaría de Ciencia, Tecnología e Innovación, Contraloría General del Distrito Federal, Jefatura de Gobierno del Distrito Federal, Oficialía Mayor, Comisión para la Reconstrucción, Recuperación y Transformación de la Ciudad de México, en una CDMX cada vez más </w:t>
      </w:r>
      <w:proofErr w:type="spellStart"/>
      <w:r w:rsidRPr="007014A4">
        <w:rPr>
          <w:rFonts w:ascii="Arial Narrow" w:hAnsi="Arial Narrow"/>
          <w:sz w:val="18"/>
          <w:szCs w:val="18"/>
        </w:rPr>
        <w:t>resiliente</w:t>
      </w:r>
      <w:proofErr w:type="spellEnd"/>
      <w:r w:rsidRPr="007014A4">
        <w:rPr>
          <w:rFonts w:ascii="Arial Narrow" w:hAnsi="Arial Narrow"/>
          <w:sz w:val="18"/>
          <w:szCs w:val="18"/>
        </w:rPr>
        <w:t>, Secretaría de Protección Civil y Consejería Jurídica y de Servicios Legales.</w:t>
      </w:r>
    </w:p>
  </w:footnote>
  <w:footnote w:id="9">
    <w:p w:rsidR="007C0694" w:rsidRPr="007014A4" w:rsidRDefault="007C0694" w:rsidP="007014A4">
      <w:pPr>
        <w:pStyle w:val="Textonotapie"/>
        <w:jc w:val="both"/>
        <w:rPr>
          <w:rFonts w:ascii="Arial Narrow" w:hAnsi="Arial Narrow"/>
          <w:sz w:val="18"/>
          <w:szCs w:val="18"/>
        </w:rPr>
      </w:pPr>
      <w:r w:rsidRPr="007014A4">
        <w:rPr>
          <w:rStyle w:val="Refdenotaalpie"/>
          <w:rFonts w:ascii="Arial Narrow" w:hAnsi="Arial Narrow"/>
          <w:sz w:val="18"/>
          <w:szCs w:val="18"/>
        </w:rPr>
        <w:footnoteRef/>
      </w:r>
      <w:r w:rsidRPr="007014A4">
        <w:rPr>
          <w:rFonts w:ascii="Arial Narrow" w:hAnsi="Arial Narrow"/>
          <w:sz w:val="18"/>
          <w:szCs w:val="18"/>
        </w:rPr>
        <w:t xml:space="preserve"> Procuraduría General de Justicia del Distrito Federal, Secretaría de Cultura, Secretaría de Trabajo y Fomento al Empleo y Secretaría de Turismo.</w:t>
      </w:r>
    </w:p>
  </w:footnote>
  <w:footnote w:id="10">
    <w:p w:rsidR="007C0694" w:rsidRPr="007014A4" w:rsidRDefault="007C0694" w:rsidP="007014A4">
      <w:pPr>
        <w:pStyle w:val="Textonotapie"/>
        <w:jc w:val="both"/>
        <w:rPr>
          <w:rFonts w:ascii="Arial Narrow" w:hAnsi="Arial Narrow"/>
          <w:sz w:val="18"/>
          <w:szCs w:val="18"/>
        </w:rPr>
      </w:pPr>
      <w:r w:rsidRPr="007014A4">
        <w:rPr>
          <w:rStyle w:val="Refdenotaalpie"/>
          <w:rFonts w:ascii="Arial Narrow" w:hAnsi="Arial Narrow"/>
          <w:sz w:val="18"/>
          <w:szCs w:val="18"/>
        </w:rPr>
        <w:footnoteRef/>
      </w:r>
      <w:r w:rsidRPr="007014A4">
        <w:rPr>
          <w:rFonts w:ascii="Arial Narrow" w:hAnsi="Arial Narrow"/>
          <w:sz w:val="18"/>
          <w:szCs w:val="18"/>
        </w:rPr>
        <w:t xml:space="preserve"> Secretaría de Desarrollo Social, Secretaría de Desarrollo Económico, Secretaría de Finanzas, Secretaría de Obras y Servicios, Secretaría de Movilidad, Secretaría de Gobierno, Secretaría de Educación, Contraloría General del Distrito Federal, Jefatura de Gobierno del Distrito Federal, Oficialía Mayor, Consejería Jurídica y de Servicios Legales, Procuraduría General de Justicia del Distrito Federal, Secretaría del Medio Ambiente, Secretaría de Salud, Secretaría de Protección Civil y Secretaría de Trabajo y Fomento al Empleo.</w:t>
      </w:r>
    </w:p>
  </w:footnote>
  <w:footnote w:id="11">
    <w:p w:rsidR="007C0694" w:rsidRPr="007014A4" w:rsidRDefault="007C0694" w:rsidP="007014A4">
      <w:pPr>
        <w:pStyle w:val="Textonotapie"/>
        <w:jc w:val="both"/>
        <w:rPr>
          <w:rFonts w:ascii="Arial Narrow" w:hAnsi="Arial Narrow"/>
          <w:sz w:val="18"/>
          <w:szCs w:val="18"/>
        </w:rPr>
      </w:pPr>
      <w:r w:rsidRPr="007014A4">
        <w:rPr>
          <w:rStyle w:val="Refdenotaalpie"/>
          <w:rFonts w:ascii="Arial Narrow" w:hAnsi="Arial Narrow"/>
          <w:sz w:val="18"/>
          <w:szCs w:val="18"/>
        </w:rPr>
        <w:footnoteRef/>
      </w:r>
      <w:r w:rsidRPr="007014A4">
        <w:rPr>
          <w:rFonts w:ascii="Arial Narrow" w:hAnsi="Arial Narrow"/>
          <w:sz w:val="18"/>
          <w:szCs w:val="18"/>
        </w:rPr>
        <w:t xml:space="preserve"> Secretaría de Ciencia, Tecnología e Innovación, Secretaría de Desarrollo Urbano y Vivienda y Secretaría de Seguridad Pública.</w:t>
      </w:r>
    </w:p>
  </w:footnote>
  <w:footnote w:id="12">
    <w:p w:rsidR="007C0694" w:rsidRPr="007014A4" w:rsidRDefault="007C0694" w:rsidP="007014A4">
      <w:pPr>
        <w:pStyle w:val="Textonotapie"/>
        <w:jc w:val="both"/>
        <w:rPr>
          <w:rFonts w:ascii="Arial Narrow" w:hAnsi="Arial Narrow"/>
          <w:sz w:val="18"/>
          <w:szCs w:val="18"/>
        </w:rPr>
      </w:pPr>
      <w:r w:rsidRPr="007014A4">
        <w:rPr>
          <w:rStyle w:val="Refdenotaalpie"/>
          <w:rFonts w:ascii="Arial Narrow" w:hAnsi="Arial Narrow"/>
          <w:sz w:val="18"/>
          <w:szCs w:val="18"/>
        </w:rPr>
        <w:footnoteRef/>
      </w:r>
      <w:r w:rsidRPr="007014A4">
        <w:rPr>
          <w:rFonts w:ascii="Arial Narrow" w:hAnsi="Arial Narrow"/>
          <w:sz w:val="18"/>
          <w:szCs w:val="18"/>
        </w:rPr>
        <w:t xml:space="preserve"> Comisión para la Reconstrucción, Recuperación y Transformación de la Ciudad de México, en una CDMX cada vez más </w:t>
      </w:r>
      <w:proofErr w:type="spellStart"/>
      <w:r w:rsidRPr="007014A4">
        <w:rPr>
          <w:rFonts w:ascii="Arial Narrow" w:hAnsi="Arial Narrow"/>
          <w:sz w:val="18"/>
          <w:szCs w:val="18"/>
        </w:rPr>
        <w:t>resiliente</w:t>
      </w:r>
      <w:proofErr w:type="spellEnd"/>
      <w:r w:rsidRPr="007014A4">
        <w:rPr>
          <w:rFonts w:ascii="Arial Narrow" w:hAnsi="Arial Narrow"/>
          <w:sz w:val="18"/>
          <w:szCs w:val="18"/>
        </w:rPr>
        <w:t>, Secretaría de Turismo y Secretaría de Desarrollo Rural y Equidad para las Comunidades.</w:t>
      </w:r>
    </w:p>
  </w:footnote>
  <w:footnote w:id="13">
    <w:p w:rsidR="007C0694" w:rsidRPr="007014A4" w:rsidRDefault="007C0694" w:rsidP="007014A4">
      <w:pPr>
        <w:pStyle w:val="Textonotapie"/>
        <w:jc w:val="both"/>
        <w:rPr>
          <w:rFonts w:ascii="Arial Narrow" w:hAnsi="Arial Narrow"/>
          <w:sz w:val="18"/>
          <w:szCs w:val="18"/>
        </w:rPr>
      </w:pPr>
      <w:r w:rsidRPr="007014A4">
        <w:rPr>
          <w:rStyle w:val="Refdenotaalpie"/>
          <w:rFonts w:ascii="Arial Narrow" w:hAnsi="Arial Narrow"/>
          <w:sz w:val="18"/>
          <w:szCs w:val="18"/>
        </w:rPr>
        <w:footnoteRef/>
      </w:r>
      <w:r w:rsidRPr="007014A4">
        <w:rPr>
          <w:rFonts w:ascii="Arial Narrow" w:hAnsi="Arial Narrow"/>
          <w:sz w:val="18"/>
          <w:szCs w:val="18"/>
        </w:rPr>
        <w:t xml:space="preserve"> Oficialía Mayor, Secretaría de Desarrollo Social, Secretaría de Desarrollo Urbano y Vivienda, Secretaría de Obras y Servicios, Secretaría de Finanzas, </w:t>
      </w:r>
    </w:p>
  </w:footnote>
  <w:footnote w:id="14">
    <w:p w:rsidR="007C0694" w:rsidRPr="007014A4" w:rsidRDefault="007C0694" w:rsidP="007014A4">
      <w:pPr>
        <w:pStyle w:val="Textonotapie"/>
        <w:jc w:val="both"/>
        <w:rPr>
          <w:rFonts w:ascii="Arial Narrow" w:hAnsi="Arial Narrow"/>
          <w:sz w:val="18"/>
          <w:szCs w:val="18"/>
        </w:rPr>
      </w:pPr>
      <w:r w:rsidRPr="007014A4">
        <w:rPr>
          <w:rStyle w:val="Refdenotaalpie"/>
          <w:rFonts w:ascii="Arial Narrow" w:hAnsi="Arial Narrow"/>
          <w:sz w:val="18"/>
          <w:szCs w:val="18"/>
        </w:rPr>
        <w:footnoteRef/>
      </w:r>
      <w:r w:rsidRPr="007014A4">
        <w:rPr>
          <w:rFonts w:ascii="Arial Narrow" w:hAnsi="Arial Narrow"/>
          <w:sz w:val="18"/>
          <w:szCs w:val="18"/>
        </w:rPr>
        <w:t xml:space="preserve"> Consejería Jurídica y de Servicios Legales, Contraloría General del Distrito Federal, Secretaría de Educación y Secretaría del Medio Ambiente.</w:t>
      </w:r>
    </w:p>
  </w:footnote>
  <w:footnote w:id="15">
    <w:p w:rsidR="007C0694" w:rsidRPr="007014A4" w:rsidRDefault="007C0694" w:rsidP="007014A4">
      <w:pPr>
        <w:pStyle w:val="Textonotapie"/>
        <w:jc w:val="both"/>
        <w:rPr>
          <w:rFonts w:ascii="Arial Narrow" w:hAnsi="Arial Narrow"/>
          <w:sz w:val="18"/>
          <w:szCs w:val="18"/>
        </w:rPr>
      </w:pPr>
      <w:r w:rsidRPr="007014A4">
        <w:rPr>
          <w:rStyle w:val="Refdenotaalpie"/>
          <w:rFonts w:ascii="Arial Narrow" w:hAnsi="Arial Narrow"/>
          <w:sz w:val="18"/>
          <w:szCs w:val="18"/>
        </w:rPr>
        <w:footnoteRef/>
      </w:r>
      <w:r w:rsidRPr="007014A4">
        <w:rPr>
          <w:rFonts w:ascii="Arial Narrow" w:hAnsi="Arial Narrow"/>
          <w:sz w:val="18"/>
          <w:szCs w:val="18"/>
        </w:rPr>
        <w:t xml:space="preserve"> Comisión para la Reconstrucción, Recuperación y Transformación de la Ciudad de México, en una CDMX cada vez más </w:t>
      </w:r>
      <w:proofErr w:type="spellStart"/>
      <w:r w:rsidRPr="007014A4">
        <w:rPr>
          <w:rFonts w:ascii="Arial Narrow" w:hAnsi="Arial Narrow"/>
          <w:sz w:val="18"/>
          <w:szCs w:val="18"/>
        </w:rPr>
        <w:t>resiliente</w:t>
      </w:r>
      <w:proofErr w:type="spellEnd"/>
      <w:r w:rsidRPr="007014A4">
        <w:rPr>
          <w:rFonts w:ascii="Arial Narrow" w:hAnsi="Arial Narrow"/>
          <w:sz w:val="18"/>
          <w:szCs w:val="18"/>
        </w:rPr>
        <w:t>, Secretaría de Movilidad, Secretaría de Salud, Secretaría de Seguridad Pública y Jefatura de Gobierno del Distrito Federal.</w:t>
      </w:r>
    </w:p>
  </w:footnote>
  <w:footnote w:id="16">
    <w:p w:rsidR="007C0694" w:rsidRPr="007014A4" w:rsidRDefault="007C0694" w:rsidP="007014A4">
      <w:pPr>
        <w:pStyle w:val="Textonotapie"/>
        <w:jc w:val="both"/>
        <w:rPr>
          <w:rFonts w:ascii="Arial Narrow" w:hAnsi="Arial Narrow"/>
          <w:sz w:val="18"/>
          <w:szCs w:val="18"/>
        </w:rPr>
      </w:pPr>
      <w:r w:rsidRPr="007014A4">
        <w:rPr>
          <w:rStyle w:val="Refdenotaalpie"/>
          <w:rFonts w:ascii="Arial Narrow" w:hAnsi="Arial Narrow"/>
          <w:sz w:val="18"/>
          <w:szCs w:val="18"/>
        </w:rPr>
        <w:footnoteRef/>
      </w:r>
      <w:r w:rsidRPr="007014A4">
        <w:rPr>
          <w:rFonts w:ascii="Arial Narrow" w:hAnsi="Arial Narrow"/>
          <w:sz w:val="18"/>
          <w:szCs w:val="18"/>
        </w:rPr>
        <w:t xml:space="preserve"> Procuraduría General de Justicia del Distrito Federal, Secretaría de Ciencia, Tecnología e Innovación, Secretaría de Cultura, Secretaría de Desarrollo Económico, Secretaría de Desarrollo Rural y Equidad para las Comunidades, Secretaría de Gobierno, Secretaría de Protección Civil, Secretaría de Trabajo y Fomento al Empleo y Secretaría de Turismo.</w:t>
      </w:r>
    </w:p>
  </w:footnote>
  <w:footnote w:id="17">
    <w:p w:rsidR="007C0694" w:rsidRPr="007014A4" w:rsidRDefault="007C0694" w:rsidP="007014A4">
      <w:pPr>
        <w:pStyle w:val="Textonotapie"/>
        <w:jc w:val="both"/>
        <w:rPr>
          <w:rFonts w:ascii="Arial Narrow" w:hAnsi="Arial Narrow"/>
          <w:sz w:val="18"/>
          <w:szCs w:val="18"/>
        </w:rPr>
      </w:pPr>
      <w:r w:rsidRPr="007014A4">
        <w:rPr>
          <w:rStyle w:val="Refdenotaalpie"/>
          <w:rFonts w:ascii="Arial Narrow" w:hAnsi="Arial Narrow"/>
          <w:sz w:val="18"/>
          <w:szCs w:val="18"/>
        </w:rPr>
        <w:footnoteRef/>
      </w:r>
      <w:r w:rsidRPr="007014A4">
        <w:rPr>
          <w:rFonts w:ascii="Arial Narrow" w:hAnsi="Arial Narrow"/>
          <w:sz w:val="18"/>
          <w:szCs w:val="18"/>
        </w:rPr>
        <w:t xml:space="preserve"> Secretaría de Obras y Servicios, Secretaría de Finanzas, Consejería Jurídica y de Servicios Legales, Contraloría General del Distrito Federal, Secretaría del Medio Ambiente, Comisión para la Reconstrucción, Recuperación y Transformación de la Ciudad de México, en una CDMX cada vez más </w:t>
      </w:r>
      <w:proofErr w:type="spellStart"/>
      <w:r w:rsidRPr="007014A4">
        <w:rPr>
          <w:rFonts w:ascii="Arial Narrow" w:hAnsi="Arial Narrow"/>
          <w:sz w:val="18"/>
          <w:szCs w:val="18"/>
        </w:rPr>
        <w:t>resiliente</w:t>
      </w:r>
      <w:proofErr w:type="spellEnd"/>
      <w:r w:rsidRPr="007014A4">
        <w:rPr>
          <w:rFonts w:ascii="Arial Narrow" w:hAnsi="Arial Narrow"/>
          <w:sz w:val="18"/>
          <w:szCs w:val="18"/>
        </w:rPr>
        <w:t xml:space="preserve">, Secretaría de Seguridad Pública, Jefatura de Gobierno del Distrito Federal, Procuraduría General de Justicia del Distrito Federal y Secretaría de Protección Civil. </w:t>
      </w:r>
    </w:p>
  </w:footnote>
  <w:footnote w:id="18">
    <w:p w:rsidR="007C0694" w:rsidRPr="007014A4" w:rsidRDefault="007C0694" w:rsidP="007014A4">
      <w:pPr>
        <w:pStyle w:val="Textonotapie"/>
        <w:jc w:val="both"/>
        <w:rPr>
          <w:rFonts w:ascii="Arial Narrow" w:hAnsi="Arial Narrow"/>
          <w:sz w:val="18"/>
          <w:szCs w:val="18"/>
        </w:rPr>
      </w:pPr>
      <w:r w:rsidRPr="007014A4">
        <w:rPr>
          <w:rStyle w:val="Refdenotaalpie"/>
          <w:rFonts w:ascii="Arial Narrow" w:hAnsi="Arial Narrow"/>
          <w:sz w:val="18"/>
          <w:szCs w:val="18"/>
        </w:rPr>
        <w:footnoteRef/>
      </w:r>
      <w:r w:rsidRPr="007014A4">
        <w:rPr>
          <w:rStyle w:val="Refdenotaalpie"/>
          <w:rFonts w:ascii="Arial Narrow" w:hAnsi="Arial Narrow"/>
          <w:sz w:val="18"/>
          <w:szCs w:val="18"/>
        </w:rPr>
        <w:t xml:space="preserve"> </w:t>
      </w:r>
      <w:r w:rsidRPr="007014A4">
        <w:rPr>
          <w:rFonts w:ascii="Arial Narrow" w:hAnsi="Arial Narrow"/>
          <w:sz w:val="18"/>
          <w:szCs w:val="18"/>
        </w:rPr>
        <w:t>Secretaría de Ciencia, Tecnología e Innovación, Secretaría de Educación, Secretaría del Medio Ambiente y Secretaría de Salud.</w:t>
      </w:r>
    </w:p>
  </w:footnote>
  <w:footnote w:id="19">
    <w:p w:rsidR="007C0694" w:rsidRPr="007014A4" w:rsidRDefault="007C0694" w:rsidP="007014A4">
      <w:pPr>
        <w:pStyle w:val="Textonotapie"/>
        <w:jc w:val="both"/>
        <w:rPr>
          <w:rFonts w:ascii="Arial Narrow" w:hAnsi="Arial Narrow"/>
          <w:sz w:val="18"/>
          <w:szCs w:val="18"/>
        </w:rPr>
      </w:pPr>
      <w:r w:rsidRPr="007014A4">
        <w:rPr>
          <w:rStyle w:val="Refdenotaalpie"/>
          <w:rFonts w:ascii="Arial Narrow" w:hAnsi="Arial Narrow"/>
          <w:sz w:val="18"/>
          <w:szCs w:val="18"/>
        </w:rPr>
        <w:footnoteRef/>
      </w:r>
      <w:r w:rsidRPr="007014A4">
        <w:rPr>
          <w:rFonts w:ascii="Arial Narrow" w:hAnsi="Arial Narrow"/>
          <w:sz w:val="18"/>
          <w:szCs w:val="18"/>
        </w:rPr>
        <w:t xml:space="preserve"> Oficialía Mayor, Secretaría de Desarrollo Económico, Secretaría de Desarrollo Rural y Equidad para las Comunidades, Secretaría de Gobierno y Secretaría de Movilidad.</w:t>
      </w:r>
    </w:p>
  </w:footnote>
  <w:footnote w:id="20">
    <w:p w:rsidR="007C0694" w:rsidRPr="007014A4" w:rsidRDefault="007C0694" w:rsidP="007014A4">
      <w:pPr>
        <w:pStyle w:val="Textonotapie"/>
        <w:jc w:val="both"/>
        <w:rPr>
          <w:rFonts w:ascii="Arial Narrow" w:hAnsi="Arial Narrow"/>
          <w:sz w:val="18"/>
          <w:szCs w:val="18"/>
        </w:rPr>
      </w:pPr>
      <w:r w:rsidRPr="007014A4">
        <w:rPr>
          <w:rStyle w:val="Refdenotaalpie"/>
          <w:rFonts w:ascii="Arial Narrow" w:hAnsi="Arial Narrow"/>
          <w:sz w:val="18"/>
          <w:szCs w:val="18"/>
        </w:rPr>
        <w:footnoteRef/>
      </w:r>
      <w:r w:rsidRPr="007014A4">
        <w:rPr>
          <w:rFonts w:ascii="Arial Narrow" w:hAnsi="Arial Narrow"/>
          <w:sz w:val="18"/>
          <w:szCs w:val="18"/>
        </w:rPr>
        <w:t xml:space="preserve"> Secretaría de Trabajo y Fomento al Empleo y Secretaría de Cultura.</w:t>
      </w:r>
    </w:p>
  </w:footnote>
  <w:footnote w:id="21">
    <w:p w:rsidR="007C0694" w:rsidRPr="007014A4" w:rsidRDefault="007C0694" w:rsidP="007014A4">
      <w:pPr>
        <w:pStyle w:val="Textonotapie"/>
        <w:jc w:val="both"/>
        <w:rPr>
          <w:rFonts w:ascii="Arial Narrow" w:hAnsi="Arial Narrow"/>
          <w:sz w:val="18"/>
          <w:szCs w:val="18"/>
        </w:rPr>
      </w:pPr>
      <w:r w:rsidRPr="007014A4">
        <w:rPr>
          <w:rStyle w:val="Refdenotaalpie"/>
          <w:rFonts w:ascii="Arial Narrow" w:hAnsi="Arial Narrow"/>
          <w:sz w:val="18"/>
          <w:szCs w:val="18"/>
        </w:rPr>
        <w:footnoteRef/>
      </w:r>
      <w:r w:rsidRPr="007014A4">
        <w:rPr>
          <w:rFonts w:ascii="Arial Narrow" w:hAnsi="Arial Narrow"/>
          <w:sz w:val="18"/>
          <w:szCs w:val="18"/>
        </w:rPr>
        <w:t xml:space="preserve"> Sistema de Aguas de la Ciudad de México, Corporación Mexicana de Impresión, S.A. de C.V., Servicios de Salud Pública del Distrito Federal, Instituto de Verificación Administrativa del Distrito Federal, Procuraduría Ambiental y del Ordenamiento Territorial del Distrito Federal, Escuela de Administración Pública del Distrito Federal, Consejo para Prevenir y Eliminar la Discriminación de la Ciudad de México, Policía Bancaria e Industrial, Junta de Asistencia Privada del Distrito Federal, Sistema para el Desarrollo Integral de la Familia del Distrito Federal, Sistema de Movilidad 1, Instituto de Vivienda del Distrito Federal, Autoridad del Centro Histórico, Instituto de las Mujeres del Distrito Federal, Policía Auxiliar, Caja de Previsión de la Policía Preventiva del Distrito Federal, Caja de Previsión para Trabajadores a Lista de Raya del Distrito Federal, Instituto de Formación Profesional</w:t>
      </w:r>
      <w:r>
        <w:rPr>
          <w:rFonts w:ascii="Arial Narrow" w:hAnsi="Arial Narrow"/>
          <w:sz w:val="18"/>
          <w:szCs w:val="18"/>
        </w:rPr>
        <w:t>,</w:t>
      </w:r>
    </w:p>
    <w:p w:rsidR="007C0694" w:rsidRPr="007014A4" w:rsidRDefault="007C0694" w:rsidP="007014A4">
      <w:pPr>
        <w:pStyle w:val="Textonotapie"/>
        <w:jc w:val="both"/>
        <w:rPr>
          <w:rFonts w:ascii="Arial Narrow" w:hAnsi="Arial Narrow"/>
          <w:sz w:val="18"/>
          <w:szCs w:val="18"/>
        </w:rPr>
      </w:pPr>
      <w:r w:rsidRPr="007014A4">
        <w:rPr>
          <w:rFonts w:ascii="Arial Narrow" w:hAnsi="Arial Narrow"/>
          <w:sz w:val="18"/>
          <w:szCs w:val="18"/>
        </w:rPr>
        <w:t>Coordinación de los Centros de Transferencia Modal del Distrito Federal, Instituto del Deporte del Distrito Federal, Universidad de la Policía de la Ciudad de México, Instituto para la Atención y Prevención de las Adicciones en la Ciudad de México, Caja de Previsión de la Policía Auxiliar del Distrito Federal, Consejo de Evaluación del Desarrollo Social del Distrito Federal, Secretaría Ejecutiva del Mecanismo de Seguimiento y Evaluación del Programa de Derechos Humanos del Distrito Federal, Procuraduría Social del Distrito Federal</w:t>
      </w:r>
      <w:r>
        <w:rPr>
          <w:rFonts w:ascii="Arial Narrow" w:hAnsi="Arial Narrow"/>
          <w:sz w:val="18"/>
          <w:szCs w:val="18"/>
        </w:rPr>
        <w:t>,</w:t>
      </w:r>
    </w:p>
    <w:p w:rsidR="007C0694" w:rsidRPr="007014A4" w:rsidRDefault="007C0694" w:rsidP="007014A4">
      <w:pPr>
        <w:pStyle w:val="Textonotapie"/>
        <w:jc w:val="both"/>
        <w:rPr>
          <w:rFonts w:ascii="Arial Narrow" w:hAnsi="Arial Narrow"/>
          <w:sz w:val="18"/>
          <w:szCs w:val="18"/>
        </w:rPr>
      </w:pPr>
      <w:r w:rsidRPr="007014A4">
        <w:rPr>
          <w:rFonts w:ascii="Arial Narrow" w:hAnsi="Arial Narrow"/>
          <w:sz w:val="18"/>
          <w:szCs w:val="18"/>
        </w:rPr>
        <w:t>Servicio de Transportes Eléctricos del Distrito Federal, Agencia de Gestión Urbana de la Ciudad de México, Instituto de Capacitación para el Trabajo de la Ciudad de México, Agencia de Protección Sanitaria del Gobierno del Distrito Federal, Instituto Local de la Infraestructura Física Educativa del Distrito Federal</w:t>
      </w:r>
      <w:r>
        <w:rPr>
          <w:rFonts w:ascii="Arial Narrow" w:hAnsi="Arial Narrow"/>
          <w:sz w:val="18"/>
          <w:szCs w:val="18"/>
        </w:rPr>
        <w:t>,</w:t>
      </w:r>
    </w:p>
    <w:p w:rsidR="007C0694" w:rsidRPr="007014A4" w:rsidRDefault="007C0694" w:rsidP="007014A4">
      <w:pPr>
        <w:pStyle w:val="Textonotapie"/>
        <w:jc w:val="both"/>
        <w:rPr>
          <w:rFonts w:ascii="Arial Narrow" w:hAnsi="Arial Narrow"/>
          <w:sz w:val="18"/>
          <w:szCs w:val="18"/>
        </w:rPr>
      </w:pPr>
      <w:r w:rsidRPr="007014A4">
        <w:rPr>
          <w:rFonts w:ascii="Arial Narrow" w:hAnsi="Arial Narrow"/>
          <w:sz w:val="18"/>
          <w:szCs w:val="18"/>
        </w:rPr>
        <w:t>Servicios Metropolitanos, S.A. de C.V., Instituto de las Personas con Discapacidad de la Ciudad de México, Sistema de Transporte Colectivo, Autoridad del Espacio Público del Distrito Federal, Instituto de la Juventud del Distrito Federal, Consejo Económico y Social de la Ciudad de México, Mecanismo de Protección Integral de Personas Defensoras de Derechos Humanos y Periodistas del Distrito Federal y la Autoridad de la Zona Patrimonio Mundial Natural y Cultural de la Humanidad en Xochimilco, Tláhuac y Milpa Alta.</w:t>
      </w:r>
    </w:p>
  </w:footnote>
  <w:footnote w:id="22">
    <w:p w:rsidR="007C0694" w:rsidRPr="007014A4" w:rsidRDefault="007C0694" w:rsidP="007014A4">
      <w:pPr>
        <w:pStyle w:val="Textonotapie"/>
        <w:jc w:val="both"/>
        <w:rPr>
          <w:rFonts w:ascii="Arial Narrow" w:hAnsi="Arial Narrow"/>
          <w:sz w:val="18"/>
          <w:szCs w:val="18"/>
        </w:rPr>
      </w:pPr>
      <w:r w:rsidRPr="007014A4">
        <w:rPr>
          <w:rStyle w:val="Refdenotaalpie"/>
          <w:rFonts w:ascii="Arial Narrow" w:hAnsi="Arial Narrow"/>
          <w:sz w:val="18"/>
          <w:szCs w:val="18"/>
        </w:rPr>
        <w:footnoteRef/>
      </w:r>
      <w:r w:rsidRPr="007014A4">
        <w:rPr>
          <w:rFonts w:ascii="Arial Narrow" w:hAnsi="Arial Narrow"/>
          <w:sz w:val="18"/>
          <w:szCs w:val="18"/>
        </w:rPr>
        <w:t xml:space="preserve"> Instituto de Educación Media Superior del Distrito Federal, Comisión de Filmaciones de la Ciudad de México, Heroico Cuerpo de Bomberos del Distrito Federal, Instituto para la Seguridad de las Construcciones en el Distrito Federal, Proyecto Metro del Distrito Federal, Planta de Asfalto del Distrito Federal, Sistema de Radio y Televisión Digital del Gobierno del Distrito Federal PROCDMX, S.A. de C.V.</w:t>
      </w:r>
    </w:p>
  </w:footnote>
  <w:footnote w:id="23">
    <w:p w:rsidR="007C0694" w:rsidRPr="007014A4" w:rsidRDefault="007C0694" w:rsidP="007014A4">
      <w:pPr>
        <w:pStyle w:val="Textonotapie"/>
        <w:jc w:val="both"/>
        <w:rPr>
          <w:rFonts w:ascii="Arial Narrow" w:hAnsi="Arial Narrow"/>
          <w:sz w:val="18"/>
          <w:szCs w:val="18"/>
        </w:rPr>
      </w:pPr>
      <w:r w:rsidRPr="007014A4">
        <w:rPr>
          <w:rStyle w:val="Refdenotaalpie"/>
          <w:rFonts w:ascii="Arial Narrow" w:hAnsi="Arial Narrow"/>
          <w:sz w:val="18"/>
          <w:szCs w:val="18"/>
        </w:rPr>
        <w:footnoteRef/>
      </w:r>
      <w:r w:rsidRPr="007014A4">
        <w:rPr>
          <w:rFonts w:ascii="Arial Narrow" w:hAnsi="Arial Narrow"/>
          <w:sz w:val="18"/>
          <w:szCs w:val="18"/>
        </w:rPr>
        <w:t xml:space="preserve">Agencia de Protección Sanitaria del Gobierno del Distrito Federal, Autoridad del Centro Histórico, Caja de Previsión de la Policía Auxiliar del Distrito Federal, Caja de Previsión de la Policía Preventiva del Distrito Federal, Caja de Previsión para Trabajadores a Lista de Raya del Distrito Federal, Centro de Comando, Control, Cómputo, Comunicaciones y Contacto Ciudadano de la Ciudad de México, Comisión de Filmaciones de la Ciudad de México, Consejo de Evaluación del Desarrollo Social del Distrito Federal, Consejo Económico y Social de la Ciudad de México, Consejo para Prevenir y Eliminar la Discriminación de la Ciudad de México,  Coordinación de los Centros de Transferencia Modal del Distrito Federal, Corporación Mexicana de Impresión, S.A. de C.V., Instituto de Formación Profesional, Instituto de las Mujeres del Distrito Federal, Instituto de las Personas con Discapacidad de la Ciudad de México, Instituto para la Seguridad de las Construcciones en el Distrito Federal, Junta de Asistencia Privada del Distrito Federal, </w:t>
      </w:r>
      <w:proofErr w:type="spellStart"/>
      <w:r w:rsidRPr="007014A4">
        <w:rPr>
          <w:rFonts w:ascii="Arial Narrow" w:hAnsi="Arial Narrow"/>
          <w:sz w:val="18"/>
          <w:szCs w:val="18"/>
        </w:rPr>
        <w:t>Metrobús</w:t>
      </w:r>
      <w:proofErr w:type="spellEnd"/>
      <w:r w:rsidRPr="007014A4">
        <w:rPr>
          <w:rFonts w:ascii="Arial Narrow" w:hAnsi="Arial Narrow"/>
          <w:sz w:val="18"/>
          <w:szCs w:val="18"/>
        </w:rPr>
        <w:t>, Policía Auxiliar, Policía Bancaria e Industrial, Procuraduría Ambiental y del Ordenamiento Territorial del Distrito Federal, Proyecto Metro del Distrito Federal, Secretaría Ejecutiva del Mecanismo de Seguimiento y Evaluación del Programa de Derechos Humanos del Distrito Federal, Servicio de Transportes Eléctricos del Distrito Federal, Servicios Metropolitanos, S.A. de C.V., Universidad de la Policía de la Ciudad de México, Autoridad de la Zona Patrimonio Mundial Natural y Cultural de la Humanidad en Xochimilco, Tláhuac y Milpa Alta, Instituto de Educación Media Superior del Distrito Federal, Instituto de Vivienda del Distrito Federal, Instituto para la Atención y Prevención de las Adicciones en la Ciudad de México, Procuraduría Social del Distrito Federal, Sistema para el Desarrollo Integral de la Familia del Distrito Federal, Servicios de Salud Pública del Distrito Federal y Sistema de Aguas de la Ciudad de México.</w:t>
      </w:r>
    </w:p>
  </w:footnote>
  <w:footnote w:id="24">
    <w:p w:rsidR="007C0694" w:rsidRPr="007014A4" w:rsidRDefault="007C0694" w:rsidP="007014A4">
      <w:pPr>
        <w:pStyle w:val="Textonotapie"/>
        <w:jc w:val="both"/>
        <w:rPr>
          <w:rFonts w:ascii="Arial Narrow" w:hAnsi="Arial Narrow"/>
          <w:sz w:val="18"/>
          <w:szCs w:val="18"/>
        </w:rPr>
      </w:pPr>
      <w:r w:rsidRPr="007014A4">
        <w:rPr>
          <w:rStyle w:val="Refdenotaalpie"/>
          <w:rFonts w:ascii="Arial Narrow" w:hAnsi="Arial Narrow"/>
          <w:sz w:val="18"/>
          <w:szCs w:val="18"/>
        </w:rPr>
        <w:footnoteRef/>
      </w:r>
      <w:r w:rsidRPr="007014A4">
        <w:rPr>
          <w:rFonts w:ascii="Arial Narrow" w:hAnsi="Arial Narrow"/>
          <w:sz w:val="18"/>
          <w:szCs w:val="18"/>
        </w:rPr>
        <w:t xml:space="preserve"> Sistema de Transporte Colectivo, Instituto de Verificación Administrativa del Distrito Federal, Sistema de Movilidad 1, Escuela de Administración Pública del Distrito Federal y el Instituto del Deporte del Distrito Federal</w:t>
      </w:r>
    </w:p>
  </w:footnote>
  <w:footnote w:id="25">
    <w:p w:rsidR="007C0694" w:rsidRPr="007014A4" w:rsidRDefault="007C0694" w:rsidP="007014A4">
      <w:pPr>
        <w:pStyle w:val="Textonotapie"/>
        <w:jc w:val="both"/>
        <w:rPr>
          <w:rFonts w:ascii="Arial Narrow" w:hAnsi="Arial Narrow"/>
          <w:sz w:val="18"/>
          <w:szCs w:val="18"/>
        </w:rPr>
      </w:pPr>
      <w:r w:rsidRPr="007014A4">
        <w:rPr>
          <w:rStyle w:val="Refdenotaalpie"/>
          <w:rFonts w:ascii="Arial Narrow" w:hAnsi="Arial Narrow"/>
          <w:sz w:val="18"/>
          <w:szCs w:val="18"/>
        </w:rPr>
        <w:footnoteRef/>
      </w:r>
      <w:r w:rsidRPr="007014A4">
        <w:rPr>
          <w:rFonts w:ascii="Arial Narrow" w:hAnsi="Arial Narrow"/>
          <w:sz w:val="18"/>
          <w:szCs w:val="18"/>
        </w:rPr>
        <w:t xml:space="preserve"> Agencia de Gestión Urbana de la Ciudad de México, Instituto de Capacitación para el Trabajo de la Ciudad de México, Sistema de Radio y Televisión Digital del Gobierno del Distrito Federal, Instituto Local de la Infraestructura Física Educativa del Distrito Federal, Mecanismo de Protección Integral de Personas Defensoras de Derechos Humanos y Periodistas del Distrito Federal, Planta de Asfalto del Distrito Federal, Instituto de la Juventud del Distrito Federal y el Heroico Cuerpo de Bomberos del Distrito Federal.</w:t>
      </w:r>
    </w:p>
  </w:footnote>
  <w:footnote w:id="26">
    <w:p w:rsidR="007C0694" w:rsidRPr="007014A4" w:rsidRDefault="007C0694" w:rsidP="007014A4">
      <w:pPr>
        <w:pStyle w:val="Textonotapie"/>
        <w:jc w:val="both"/>
        <w:rPr>
          <w:rFonts w:ascii="Arial Narrow" w:hAnsi="Arial Narrow"/>
          <w:sz w:val="18"/>
          <w:szCs w:val="18"/>
        </w:rPr>
      </w:pPr>
      <w:r w:rsidRPr="007014A4">
        <w:rPr>
          <w:rStyle w:val="Refdenotaalpie"/>
          <w:rFonts w:ascii="Arial Narrow" w:hAnsi="Arial Narrow"/>
          <w:sz w:val="18"/>
          <w:szCs w:val="18"/>
        </w:rPr>
        <w:footnoteRef/>
      </w:r>
      <w:r w:rsidRPr="007014A4">
        <w:rPr>
          <w:rFonts w:ascii="Arial Narrow" w:hAnsi="Arial Narrow"/>
          <w:sz w:val="18"/>
          <w:szCs w:val="18"/>
        </w:rPr>
        <w:t xml:space="preserve"> Autoridad del Espacio Público del Distrito Federal y PROCDMX, S.A. de C.V.</w:t>
      </w:r>
    </w:p>
  </w:footnote>
  <w:footnote w:id="27">
    <w:p w:rsidR="007C0694" w:rsidRPr="007014A4" w:rsidRDefault="007C0694" w:rsidP="007014A4">
      <w:pPr>
        <w:pStyle w:val="Textonotapie"/>
        <w:jc w:val="both"/>
        <w:rPr>
          <w:rFonts w:ascii="Arial Narrow" w:hAnsi="Arial Narrow"/>
          <w:sz w:val="18"/>
          <w:szCs w:val="18"/>
        </w:rPr>
      </w:pPr>
      <w:r w:rsidRPr="007014A4">
        <w:rPr>
          <w:rStyle w:val="Refdenotaalpie"/>
          <w:rFonts w:ascii="Arial Narrow" w:hAnsi="Arial Narrow"/>
          <w:sz w:val="18"/>
          <w:szCs w:val="18"/>
        </w:rPr>
        <w:footnoteRef/>
      </w:r>
      <w:r w:rsidRPr="007014A4">
        <w:rPr>
          <w:rFonts w:ascii="Arial Narrow" w:hAnsi="Arial Narrow"/>
          <w:sz w:val="18"/>
          <w:szCs w:val="18"/>
        </w:rPr>
        <w:t xml:space="preserve"> Agencia de Gestión Urbana de la Ciudad de México, Agencia de Protección Sanitaria del Gobierno del Distrito Federal, Autoridad del Centro Histórico, Autoridad del Espacio Público del Distrito Federal, Caja de Previsión de la Policía Auxiliar del Distrito Federal, Caja de Previsión de la Policía Preventiva del Distrito Federal, Caja de Previsión para Trabajadores a Lista de Raya del Distrito Federal, Centro de Comando, Control, Cómputo, Comunicaciones y Contacto Ciudadano de la Ciudad de México, Comisión de Filmaciones de la Ciudad de México, Consejo de Evaluación del Desarrollo Social del Distrito Federal, Consejo Económico y Social de la Ciudad de México, Consejo para Prevenir y Eliminar la Discriminación de la Ciudad de México, Coordinación de los Centros de Transferencia Modal del Distrito Federal, Corporación Mexicana de Impresión, S.A. de C.V., Escuela de Administración Pública del Distrito Federal, Instituto de Capacitación para el Trabajo de la Ciudad de México, Instituto de Formación Profesional, Instituto de Verificación Administrativa del Distrito Federal, Instituto de las Mujeres del Distrito Federal, Instituto de las Personas con Discapacidad de la Ciudad de México, Instituto para la Seguridad de las Construcciones en el Distrito Federal, Junta de Asistencia Privada del Distrito Federal, </w:t>
      </w:r>
      <w:proofErr w:type="spellStart"/>
      <w:r w:rsidRPr="007014A4">
        <w:rPr>
          <w:rFonts w:ascii="Arial Narrow" w:hAnsi="Arial Narrow"/>
          <w:sz w:val="18"/>
          <w:szCs w:val="18"/>
        </w:rPr>
        <w:t>Metrobús</w:t>
      </w:r>
      <w:proofErr w:type="spellEnd"/>
      <w:r w:rsidRPr="007014A4">
        <w:rPr>
          <w:rFonts w:ascii="Arial Narrow" w:hAnsi="Arial Narrow"/>
          <w:sz w:val="18"/>
          <w:szCs w:val="18"/>
        </w:rPr>
        <w:t>, Policía Auxiliar, Policía Bancaria e Industrial, PROCDMX, S.A. de C.V., Procuraduría Ambiental y del Ordenamiento Territorial del Distrito Federal, Servicio de Transportes Eléctricos del Distrito Federal, Servicios de Salud Pública del Distrito Federal, Servicios Metropolitanos, S.A. de C.V., Sistema de Aguas de la Ciudad de México, Sistema de Movilidad 1, Universidad de la Policía de la Ciudad de México, Autoridad de la Zona Patrimonio Mundial Natural y Cultural de la Humanidad en Xochimilco, Tláhuac y Milpa Alta, Instituto de Educación Media Superior del Distrito Federal, Instituto de Vivienda del Distrito Federal, Instituto del Deporte del Distrito Federal, Instituto para la Atención y Prevención de las Adicciones en la Ciudad de México, Procuraduría Social del Distrito Federal y Sistema para el Desarrollo Integral de la Familia del Distrito Federal.</w:t>
      </w:r>
    </w:p>
  </w:footnote>
  <w:footnote w:id="28">
    <w:p w:rsidR="007C0694" w:rsidRPr="007014A4" w:rsidRDefault="007C0694" w:rsidP="007014A4">
      <w:pPr>
        <w:pStyle w:val="Textonotapie"/>
        <w:jc w:val="both"/>
        <w:rPr>
          <w:rFonts w:ascii="Arial Narrow" w:hAnsi="Arial Narrow"/>
          <w:sz w:val="18"/>
          <w:szCs w:val="18"/>
        </w:rPr>
      </w:pPr>
      <w:r w:rsidRPr="007014A4">
        <w:rPr>
          <w:rStyle w:val="Refdenotaalpie"/>
          <w:rFonts w:ascii="Arial Narrow" w:hAnsi="Arial Narrow"/>
          <w:sz w:val="18"/>
          <w:szCs w:val="18"/>
        </w:rPr>
        <w:footnoteRef/>
      </w:r>
      <w:r w:rsidRPr="007014A4">
        <w:rPr>
          <w:rFonts w:ascii="Arial Narrow" w:hAnsi="Arial Narrow"/>
          <w:sz w:val="18"/>
          <w:szCs w:val="18"/>
        </w:rPr>
        <w:t xml:space="preserve"> Heroico Cuerpo de Bomberos del Distrito Federal, Instituto Local de la Infraestructura Física Educativa del Distrito Federal, Mecanismo de Protección Integral de Personas Defensoras de Derechos Humanos y Periodistas del Distrito Federal, Planta de Asfalto del Distrito Federal, Secretaría Ejecutiva del Mecanismo de Seguimiento y Evaluación del Programa de Derechos Humanos del Distrito Federal, Sistema de Transporte Colectivo, Instituto de la Juventud del Distrito Federal, Proyecto Metro del Distrito Federal y Sistema de Radio y Televisión Digital del Gobierno del Distrito Federal.</w:t>
      </w:r>
    </w:p>
  </w:footnote>
  <w:footnote w:id="29">
    <w:p w:rsidR="007C0694" w:rsidRPr="007014A4" w:rsidRDefault="007C0694" w:rsidP="007014A4">
      <w:pPr>
        <w:pStyle w:val="Textonotapie"/>
        <w:jc w:val="both"/>
        <w:rPr>
          <w:rFonts w:ascii="Arial Narrow" w:hAnsi="Arial Narrow"/>
          <w:sz w:val="18"/>
          <w:szCs w:val="18"/>
        </w:rPr>
      </w:pPr>
      <w:r w:rsidRPr="007014A4">
        <w:rPr>
          <w:rStyle w:val="Refdenotaalpie"/>
          <w:rFonts w:ascii="Arial Narrow" w:hAnsi="Arial Narrow"/>
          <w:sz w:val="18"/>
          <w:szCs w:val="18"/>
        </w:rPr>
        <w:footnoteRef/>
      </w:r>
      <w:r w:rsidRPr="007014A4">
        <w:rPr>
          <w:rFonts w:ascii="Arial Narrow" w:hAnsi="Arial Narrow"/>
          <w:sz w:val="18"/>
          <w:szCs w:val="18"/>
        </w:rPr>
        <w:t xml:space="preserve"> Agencia de Gestión Urbana de la Ciudad de México, Autoridad del Centro Histórico, Autoridad del Espacio Público del Distrito Federal, Caja de Previsión para Trabajadores a Lista de Raya del Distrito Federal, Centro de Comando, Control, Cómputo, Comunicaciones y Contacto Ciudadano de la Ciudad de México, Comisión de Filmaciones de la Ciudad de México, Corporación Mexicana de Impresión, S.A. de C.V., Escuela de Administración Pública del Distrito Federal, Heroico Cuerpo de Bomberos del Distrito Federal, Instituto de Capacitación para el Trabajo de la Ciudad de México, Instituto de Verificación Administrativa del Distrito Federal, Instituto Local de la Infraestructura Física Educativa del Distrito Federal, </w:t>
      </w:r>
      <w:proofErr w:type="spellStart"/>
      <w:r w:rsidRPr="007014A4">
        <w:rPr>
          <w:rFonts w:ascii="Arial Narrow" w:hAnsi="Arial Narrow"/>
          <w:sz w:val="18"/>
          <w:szCs w:val="18"/>
        </w:rPr>
        <w:t>Metrobús</w:t>
      </w:r>
      <w:proofErr w:type="spellEnd"/>
      <w:r w:rsidRPr="007014A4">
        <w:rPr>
          <w:rFonts w:ascii="Arial Narrow" w:hAnsi="Arial Narrow"/>
          <w:sz w:val="18"/>
          <w:szCs w:val="18"/>
        </w:rPr>
        <w:t>, Policía Bancaria e Industrial, Procuraduría Ambiental y del Ordenamiento Territorial del Distrito Federal, Secretaría Ejecutiva del Mecanismo de Seguimiento y Evaluación del Programa de Derechos Humanos del Distrito Federal, Servicios de Salud Pública del Distrito Federal, Sistema de Aguas de la Ciudad de México, Sistema de Transporte Colectivo, Universidad de la Policía de la Ciudad de México y el Instituto del Deporte del Distrito Federal.</w:t>
      </w:r>
    </w:p>
  </w:footnote>
  <w:footnote w:id="30">
    <w:p w:rsidR="007C0694" w:rsidRPr="007014A4" w:rsidRDefault="007C0694" w:rsidP="007014A4">
      <w:pPr>
        <w:pStyle w:val="Textonotapie"/>
        <w:jc w:val="both"/>
        <w:rPr>
          <w:rFonts w:ascii="Arial Narrow" w:hAnsi="Arial Narrow"/>
          <w:sz w:val="18"/>
          <w:szCs w:val="18"/>
        </w:rPr>
      </w:pPr>
      <w:r w:rsidRPr="007014A4">
        <w:rPr>
          <w:rStyle w:val="Refdenotaalpie"/>
          <w:rFonts w:ascii="Arial Narrow" w:hAnsi="Arial Narrow"/>
          <w:sz w:val="18"/>
          <w:szCs w:val="18"/>
        </w:rPr>
        <w:footnoteRef/>
      </w:r>
      <w:r w:rsidRPr="007014A4">
        <w:rPr>
          <w:rFonts w:ascii="Arial Narrow" w:hAnsi="Arial Narrow"/>
          <w:sz w:val="18"/>
          <w:szCs w:val="18"/>
        </w:rPr>
        <w:t xml:space="preserve"> Sistema de Movilidad 1, Consejo para Prevenir y Eliminar la Discriminación de la Ciudad de México, Instituto de las Mujeres del Distrito Federal, Sistema para el Desarrollo Integral de la Familia del Distrito Federal y Consejo de Evaluación del Desarrollo Social del Distrito Federal.</w:t>
      </w:r>
    </w:p>
  </w:footnote>
  <w:footnote w:id="31">
    <w:p w:rsidR="007C0694" w:rsidRPr="007014A4" w:rsidRDefault="007C0694" w:rsidP="007014A4">
      <w:pPr>
        <w:pStyle w:val="Textonotapie"/>
        <w:jc w:val="both"/>
        <w:rPr>
          <w:rFonts w:ascii="Arial Narrow" w:hAnsi="Arial Narrow"/>
          <w:sz w:val="18"/>
          <w:szCs w:val="18"/>
        </w:rPr>
      </w:pPr>
      <w:r w:rsidRPr="007014A4">
        <w:rPr>
          <w:rStyle w:val="Refdenotaalpie"/>
          <w:rFonts w:ascii="Arial Narrow" w:hAnsi="Arial Narrow"/>
          <w:sz w:val="18"/>
          <w:szCs w:val="18"/>
        </w:rPr>
        <w:footnoteRef/>
      </w:r>
      <w:r w:rsidRPr="007014A4">
        <w:rPr>
          <w:rFonts w:ascii="Arial Narrow" w:hAnsi="Arial Narrow"/>
          <w:sz w:val="18"/>
          <w:szCs w:val="18"/>
        </w:rPr>
        <w:t xml:space="preserve"> Policía Auxiliar, Coordinación de los Centros de Transferencia Modal del Distrito Federal, Instituto de las Personas con Discapacidad de la Ciudad de México, Junta de Asistencia Privada del Distrito Federal</w:t>
      </w:r>
    </w:p>
    <w:p w:rsidR="007C0694" w:rsidRPr="007014A4" w:rsidRDefault="007C0694" w:rsidP="007014A4">
      <w:pPr>
        <w:pStyle w:val="Textonotapie"/>
        <w:jc w:val="both"/>
        <w:rPr>
          <w:rFonts w:ascii="Arial Narrow" w:hAnsi="Arial Narrow"/>
          <w:sz w:val="18"/>
          <w:szCs w:val="18"/>
        </w:rPr>
      </w:pPr>
      <w:r w:rsidRPr="007014A4">
        <w:rPr>
          <w:rFonts w:ascii="Arial Narrow" w:hAnsi="Arial Narrow"/>
          <w:sz w:val="18"/>
          <w:szCs w:val="18"/>
        </w:rPr>
        <w:t>Mecanismo de Protección Integral de Personas Defensoras de Derechos Humanos y Periodistas del Distrito Federal, Proyecto Metro del Distrito Federal, Instituto de la Juventud del Distrito Federal, Instituto para la Atención y Prevención de las Adicciones en la Ciudad de México, Procuraduría Social del Distrito Federal, Instituto de Vivienda del Distrito Federal, Instituto para la Seguridad de las Construcciones en el Distrito Federal y Servicios Metropolitanos, S.A. de C.V.</w:t>
      </w:r>
    </w:p>
  </w:footnote>
  <w:footnote w:id="32">
    <w:p w:rsidR="007C0694" w:rsidRPr="007014A4" w:rsidRDefault="007C0694" w:rsidP="007014A4">
      <w:pPr>
        <w:pStyle w:val="Textonotapie"/>
        <w:jc w:val="both"/>
        <w:rPr>
          <w:rFonts w:ascii="Arial Narrow" w:hAnsi="Arial Narrow"/>
          <w:sz w:val="18"/>
          <w:szCs w:val="18"/>
        </w:rPr>
      </w:pPr>
      <w:r w:rsidRPr="007014A4">
        <w:rPr>
          <w:rStyle w:val="Refdenotaalpie"/>
          <w:rFonts w:ascii="Arial Narrow" w:hAnsi="Arial Narrow"/>
          <w:sz w:val="18"/>
          <w:szCs w:val="18"/>
        </w:rPr>
        <w:footnoteRef/>
      </w:r>
      <w:r w:rsidRPr="007014A4">
        <w:rPr>
          <w:rFonts w:ascii="Arial Narrow" w:hAnsi="Arial Narrow"/>
          <w:sz w:val="18"/>
          <w:szCs w:val="18"/>
        </w:rPr>
        <w:t xml:space="preserve"> Agencia de Protección Sanitaria del Gobierno del Distrito Federal, Caja de Previsión de la Policía Auxiliar del Distrito Federal, Caja de Previsión de la Policía Preventiva del Distrito Federal, Consejo Económico y Social de la Ciudad de México, Instituto de Formación Profesional, Planta de Asfalto del Distrito Federal, PROCDMX, S.A. de C.V., Servicio de Transportes Eléctricos del Distrito Federal, Sistema de Radio y Televisión Digital del Gobierno del Distrito Federal, Autoridad de la Zona Patrimonio Mundial Natural y Cultural de la Humanidad en Xochimilco, Tláhuac y Milpa Alta e Instituto de Educación Media Superior del Distrito Federal.</w:t>
      </w:r>
    </w:p>
  </w:footnote>
  <w:footnote w:id="33">
    <w:p w:rsidR="007C0694" w:rsidRPr="007014A4" w:rsidRDefault="007C0694" w:rsidP="007014A4">
      <w:pPr>
        <w:pStyle w:val="Textonotapie"/>
        <w:jc w:val="both"/>
        <w:rPr>
          <w:rFonts w:ascii="Arial Narrow" w:hAnsi="Arial Narrow"/>
          <w:sz w:val="18"/>
          <w:szCs w:val="18"/>
        </w:rPr>
      </w:pPr>
      <w:r w:rsidRPr="007014A4">
        <w:rPr>
          <w:rStyle w:val="Refdenotaalpie"/>
          <w:rFonts w:ascii="Arial Narrow" w:hAnsi="Arial Narrow"/>
          <w:sz w:val="18"/>
          <w:szCs w:val="18"/>
        </w:rPr>
        <w:footnoteRef/>
      </w:r>
      <w:r w:rsidRPr="007014A4">
        <w:rPr>
          <w:rFonts w:ascii="Arial Narrow" w:hAnsi="Arial Narrow"/>
          <w:sz w:val="18"/>
          <w:szCs w:val="18"/>
        </w:rPr>
        <w:t xml:space="preserve"> Agencia de Protección Sanitaria del Gobierno del Distrito Federal, Caja de Previsión de la Policía Auxiliar del Distrito Federal, Caja de Previsión de la Policía Preventiva del Distrito Federal, Caja de Previsión para Trabajadores a Lista de Raya del Distrito Federal, Centro de Comando, Control, Cómputo, Comunicaciones y Contacto Ciudadano de la Ciudad de México, Comisión de Filmaciones de la Ciudad de México, Consejo de Evaluación del Desarrollo Social del Distrito Federal, Consejo Económico y Social de la Ciudad de México</w:t>
      </w:r>
    </w:p>
    <w:p w:rsidR="007C0694" w:rsidRPr="007014A4" w:rsidRDefault="007C0694" w:rsidP="007014A4">
      <w:pPr>
        <w:pStyle w:val="Textonotapie"/>
        <w:jc w:val="both"/>
        <w:rPr>
          <w:rFonts w:ascii="Arial Narrow" w:hAnsi="Arial Narrow"/>
          <w:sz w:val="18"/>
          <w:szCs w:val="18"/>
        </w:rPr>
      </w:pPr>
      <w:r w:rsidRPr="007014A4">
        <w:rPr>
          <w:rFonts w:ascii="Arial Narrow" w:hAnsi="Arial Narrow"/>
          <w:sz w:val="18"/>
          <w:szCs w:val="18"/>
        </w:rPr>
        <w:t xml:space="preserve">Coordinación de los Centros de Transferencia Modal del Distrito Federal, Corporación Mexicana de Impresión, S.A. de C.V., Instituto de las Mujeres del Distrito Federal, Instituto para la Seguridad de las Construcciones en el Distrito Federal, </w:t>
      </w:r>
      <w:proofErr w:type="spellStart"/>
      <w:r w:rsidRPr="007014A4">
        <w:rPr>
          <w:rFonts w:ascii="Arial Narrow" w:hAnsi="Arial Narrow"/>
          <w:sz w:val="18"/>
          <w:szCs w:val="18"/>
        </w:rPr>
        <w:t>Metrobús</w:t>
      </w:r>
      <w:proofErr w:type="spellEnd"/>
      <w:r w:rsidRPr="007014A4">
        <w:rPr>
          <w:rFonts w:ascii="Arial Narrow" w:hAnsi="Arial Narrow"/>
          <w:sz w:val="18"/>
          <w:szCs w:val="18"/>
        </w:rPr>
        <w:t>, Planta de Asfalto del Distrito Federal, Policía Auxiliar</w:t>
      </w:r>
    </w:p>
    <w:p w:rsidR="007C0694" w:rsidRPr="007014A4" w:rsidRDefault="007C0694" w:rsidP="007014A4">
      <w:pPr>
        <w:pStyle w:val="Textonotapie"/>
        <w:jc w:val="both"/>
        <w:rPr>
          <w:rFonts w:ascii="Arial Narrow" w:hAnsi="Arial Narrow"/>
          <w:sz w:val="18"/>
          <w:szCs w:val="18"/>
        </w:rPr>
      </w:pPr>
      <w:r w:rsidRPr="007014A4">
        <w:rPr>
          <w:rFonts w:ascii="Arial Narrow" w:hAnsi="Arial Narrow"/>
          <w:sz w:val="18"/>
          <w:szCs w:val="18"/>
        </w:rPr>
        <w:t>Policía Bancaria e Industrial, Procuraduría Ambiental y del Ordenamiento Territorial del Distrito Federal, Secretaría Ejecutiva del Mecanismo de Seguimiento y Evaluación del Programa de Derechos Humanos del Distrito Federal, Servicio de Transportes Eléctricos del Distrito Federal, Servicios Metropolitanos, S.A. de C.V.</w:t>
      </w:r>
    </w:p>
    <w:p w:rsidR="007C0694" w:rsidRPr="007014A4" w:rsidRDefault="007C0694" w:rsidP="007014A4">
      <w:pPr>
        <w:pStyle w:val="Textonotapie"/>
        <w:jc w:val="both"/>
        <w:rPr>
          <w:rFonts w:ascii="Arial Narrow" w:hAnsi="Arial Narrow"/>
          <w:sz w:val="18"/>
          <w:szCs w:val="18"/>
        </w:rPr>
      </w:pPr>
      <w:r w:rsidRPr="007014A4">
        <w:rPr>
          <w:rFonts w:ascii="Arial Narrow" w:hAnsi="Arial Narrow"/>
          <w:sz w:val="18"/>
          <w:szCs w:val="18"/>
        </w:rPr>
        <w:t>Universidad de la Policía de la Ciudad de México, Autoridad del Centro Histórico, Consejo para Prevenir y Eliminar la Discriminación de la Ciudad de México, Escuela de Administración Pública del Distrito Federal, Instituto de Formación Profesional, Instituto de Verificación Administrativa del Distrito Federal, Junta de Asistencia Privada del Distrito Federal y Sistema de Aguas de la Ciudad de México</w:t>
      </w:r>
    </w:p>
  </w:footnote>
  <w:footnote w:id="34">
    <w:p w:rsidR="007C0694" w:rsidRPr="007014A4" w:rsidRDefault="007C0694" w:rsidP="007014A4">
      <w:pPr>
        <w:pStyle w:val="Textonotapie"/>
        <w:jc w:val="both"/>
        <w:rPr>
          <w:rFonts w:ascii="Arial Narrow" w:hAnsi="Arial Narrow"/>
          <w:sz w:val="18"/>
          <w:szCs w:val="18"/>
        </w:rPr>
      </w:pPr>
      <w:r w:rsidRPr="007014A4">
        <w:rPr>
          <w:rStyle w:val="Refdenotaalpie"/>
          <w:rFonts w:ascii="Arial Narrow" w:hAnsi="Arial Narrow"/>
          <w:sz w:val="18"/>
          <w:szCs w:val="18"/>
        </w:rPr>
        <w:footnoteRef/>
      </w:r>
      <w:r w:rsidRPr="007014A4">
        <w:rPr>
          <w:rFonts w:ascii="Arial Narrow" w:hAnsi="Arial Narrow"/>
          <w:sz w:val="18"/>
          <w:szCs w:val="18"/>
        </w:rPr>
        <w:t xml:space="preserve"> Instituto del Deporte del Distrito Federal, Instituto de la Juventud del Distrito Federal, Instituto de Capacitación para el Trabajo de la Ciudad de México, Sistema para el Desarrollo Integral de la Familia del Distrito Federal, Instituto Local de la Infraestructura Física Educativa del Distrito Federal y Sistema de Transporte Colectivo.</w:t>
      </w:r>
    </w:p>
  </w:footnote>
  <w:footnote w:id="35">
    <w:p w:rsidR="007C0694" w:rsidRPr="007014A4" w:rsidRDefault="007C0694" w:rsidP="007014A4">
      <w:pPr>
        <w:pStyle w:val="Textonotapie"/>
        <w:jc w:val="both"/>
        <w:rPr>
          <w:rFonts w:ascii="Arial Narrow" w:hAnsi="Arial Narrow"/>
          <w:sz w:val="18"/>
          <w:szCs w:val="18"/>
        </w:rPr>
      </w:pPr>
      <w:r w:rsidRPr="007014A4">
        <w:rPr>
          <w:rStyle w:val="Refdenotaalpie"/>
          <w:rFonts w:ascii="Arial Narrow" w:hAnsi="Arial Narrow"/>
          <w:sz w:val="18"/>
          <w:szCs w:val="18"/>
        </w:rPr>
        <w:footnoteRef/>
      </w:r>
      <w:r w:rsidRPr="007014A4">
        <w:rPr>
          <w:rFonts w:ascii="Arial Narrow" w:hAnsi="Arial Narrow"/>
          <w:sz w:val="18"/>
          <w:szCs w:val="18"/>
        </w:rPr>
        <w:t xml:space="preserve"> Autoridad del Espacio Público del Distrito Federal, Agencia de Gestión Urbana de la Ciudad de México, Heroico Cuerpo de Bomberos del Distrito Federal, Mecanismo de Protección Integral de Personas Defensoras de Derechos Humanos y Periodistas del Distrito Federal, Sistema de Movilidad 1, Sistema de Radio y Televisión Digital del Gobierno del Distrito Federal, Instituto de Educación Media Superior del Distrito Federal, Instituto de Vivienda del Distrito Federal, Procuraduría Social del Distrito Federal, Instituto para la Atención y Prevención de las Adicciones en la Ciudad de México, Autoridad de la Zona Patrimonio Mundial Natural y Cultural de la Humanidad en Xochimilco, Tláhuac y Milpa Alta e Instituto de las Personas con Discapacidad de la Ciudad de México.</w:t>
      </w:r>
    </w:p>
  </w:footnote>
  <w:footnote w:id="36">
    <w:p w:rsidR="007C0694" w:rsidRPr="007014A4" w:rsidRDefault="007C0694" w:rsidP="007014A4">
      <w:pPr>
        <w:pStyle w:val="Textonotapie"/>
        <w:contextualSpacing/>
        <w:jc w:val="both"/>
        <w:rPr>
          <w:rFonts w:ascii="Arial Narrow" w:hAnsi="Arial Narrow" w:cs="Arial"/>
          <w:sz w:val="18"/>
          <w:szCs w:val="18"/>
        </w:rPr>
      </w:pPr>
      <w:r w:rsidRPr="007014A4">
        <w:rPr>
          <w:rStyle w:val="Refdenotaalpie"/>
          <w:rFonts w:ascii="Arial Narrow" w:hAnsi="Arial Narrow"/>
          <w:sz w:val="18"/>
          <w:szCs w:val="18"/>
        </w:rPr>
        <w:footnoteRef/>
      </w:r>
      <w:r w:rsidRPr="007014A4">
        <w:rPr>
          <w:rFonts w:ascii="Arial Narrow" w:hAnsi="Arial Narrow"/>
          <w:sz w:val="18"/>
          <w:szCs w:val="18"/>
        </w:rPr>
        <w:t xml:space="preserve"> </w:t>
      </w:r>
      <w:r w:rsidRPr="007014A4">
        <w:rPr>
          <w:rFonts w:ascii="Arial Narrow" w:hAnsi="Arial Narrow" w:cs="Arial"/>
          <w:sz w:val="18"/>
          <w:szCs w:val="18"/>
        </w:rPr>
        <w:t xml:space="preserve">Fondo Mixto de Promoción Turística del Distrito Federal, Fideicomiso de Recuperación Crediticia de la Ciudad de México, Fideicomiso Centro Histórico de la Ciudad de México, Fondo de Desarrollo Económico del Distrito Federal, Fondo para el Desarrollo Social de la Ciudad de México, Fideicomiso Educación Garantizada del Distrito Federal, Fideicomiso Museo del Estanquillo, Fideicomiso Museo de Arte Popular Mexicano, Fondo Ambiental Público del Distrito Federal, </w:t>
      </w:r>
    </w:p>
    <w:p w:rsidR="007C0694" w:rsidRPr="007014A4" w:rsidRDefault="007C0694" w:rsidP="007014A4">
      <w:pPr>
        <w:pStyle w:val="Textonotapie"/>
        <w:contextualSpacing/>
        <w:jc w:val="both"/>
        <w:rPr>
          <w:rFonts w:ascii="Arial Narrow" w:hAnsi="Arial Narrow"/>
          <w:sz w:val="18"/>
          <w:szCs w:val="18"/>
        </w:rPr>
      </w:pPr>
      <w:r w:rsidRPr="007014A4">
        <w:rPr>
          <w:rFonts w:ascii="Arial Narrow" w:hAnsi="Arial Narrow" w:cs="Arial"/>
          <w:sz w:val="18"/>
          <w:szCs w:val="18"/>
        </w:rPr>
        <w:t>Fideicomiso Público de la Zona de Santa Fe.</w:t>
      </w:r>
    </w:p>
  </w:footnote>
  <w:footnote w:id="37">
    <w:p w:rsidR="007C0694" w:rsidRPr="007014A4" w:rsidRDefault="007C0694" w:rsidP="007014A4">
      <w:pPr>
        <w:pStyle w:val="Textonotapie"/>
        <w:contextualSpacing/>
        <w:jc w:val="both"/>
        <w:rPr>
          <w:rFonts w:ascii="Arial Narrow" w:hAnsi="Arial Narrow"/>
          <w:sz w:val="18"/>
          <w:szCs w:val="18"/>
        </w:rPr>
      </w:pPr>
      <w:r w:rsidRPr="007014A4">
        <w:rPr>
          <w:rStyle w:val="Refdenotaalpie"/>
          <w:rFonts w:ascii="Arial Narrow" w:hAnsi="Arial Narrow"/>
          <w:sz w:val="18"/>
          <w:szCs w:val="18"/>
        </w:rPr>
        <w:footnoteRef/>
      </w:r>
      <w:r w:rsidRPr="007014A4">
        <w:rPr>
          <w:rFonts w:ascii="Arial Narrow" w:hAnsi="Arial Narrow"/>
          <w:sz w:val="18"/>
          <w:szCs w:val="18"/>
        </w:rPr>
        <w:t xml:space="preserve"> </w:t>
      </w:r>
      <w:r w:rsidRPr="007014A4">
        <w:rPr>
          <w:rFonts w:ascii="Arial Narrow" w:hAnsi="Arial Narrow" w:cs="Arial"/>
          <w:sz w:val="18"/>
          <w:szCs w:val="18"/>
        </w:rPr>
        <w:t>Fideicomiso Fondo para el Desarrollo Económico y Social de la Ciudad de México, Fondo para la Atención y Apoyo a las Víctimas del Delito, Fideicomiso Público del Fondo de Apoyo a la Procuración de Justicia del Distrito Federal, Fideicomiso para el Fondo de Promoción para el Financiamiento del Transporte Público, Fideicomiso Público Complejo Ambiental Xochimilco, Fideicomiso para la Promoción y Desarrollo del Cine Mexicano en el Distrito Federal</w:t>
      </w:r>
    </w:p>
  </w:footnote>
  <w:footnote w:id="38">
    <w:p w:rsidR="007C0694" w:rsidRPr="007014A4" w:rsidRDefault="007C0694" w:rsidP="007014A4">
      <w:pPr>
        <w:pStyle w:val="Textonotapie"/>
        <w:jc w:val="both"/>
        <w:rPr>
          <w:rFonts w:ascii="Arial Narrow" w:hAnsi="Arial Narrow"/>
          <w:sz w:val="18"/>
          <w:szCs w:val="18"/>
        </w:rPr>
      </w:pPr>
      <w:r w:rsidRPr="007014A4">
        <w:rPr>
          <w:rStyle w:val="Refdenotaalpie"/>
          <w:rFonts w:ascii="Arial Narrow" w:hAnsi="Arial Narrow"/>
          <w:sz w:val="18"/>
          <w:szCs w:val="18"/>
        </w:rPr>
        <w:footnoteRef/>
      </w:r>
      <w:r w:rsidRPr="007014A4">
        <w:rPr>
          <w:rFonts w:ascii="Arial Narrow" w:hAnsi="Arial Narrow"/>
          <w:sz w:val="18"/>
          <w:szCs w:val="18"/>
        </w:rPr>
        <w:t xml:space="preserve"> Fideicomiso de Recuperación Crediticia de la Ciudad de México, Fideicomiso Fondo para el Desarrollo Económico y Social de la Ciudad de México, Fideicomiso Museo de Arte Popular Mexicano, Fideicomiso Museo del Estanquillo, Fideicomiso para el Fondo de Promoción para el Financiamiento del Transporte Público, Fideicomiso Público del Fondo de Apoyo a la Procuración de Justicia del Distrito Federal, Fideicomiso Público de la Zona de Santa Fe, Fondo Ambiental Público del Distrito Federal, Fondo de Desarrollo Económico del Distrito Federal, Fondo Mixto de Promoción Turística del Distrito Federal y Fondo para el Desarrollo Social de la Ciudad de México.</w:t>
      </w:r>
    </w:p>
  </w:footnote>
  <w:footnote w:id="39">
    <w:p w:rsidR="007C0694" w:rsidRPr="007014A4" w:rsidRDefault="007C0694" w:rsidP="007014A4">
      <w:pPr>
        <w:pStyle w:val="Textonotapie"/>
        <w:jc w:val="both"/>
        <w:rPr>
          <w:rFonts w:ascii="Arial Narrow" w:hAnsi="Arial Narrow"/>
          <w:sz w:val="18"/>
          <w:szCs w:val="18"/>
        </w:rPr>
      </w:pPr>
      <w:r w:rsidRPr="007014A4">
        <w:rPr>
          <w:rStyle w:val="Refdenotaalpie"/>
          <w:rFonts w:ascii="Arial Narrow" w:hAnsi="Arial Narrow"/>
          <w:sz w:val="18"/>
          <w:szCs w:val="18"/>
        </w:rPr>
        <w:footnoteRef/>
      </w:r>
      <w:r w:rsidRPr="007014A4">
        <w:rPr>
          <w:rFonts w:ascii="Arial Narrow" w:hAnsi="Arial Narrow"/>
          <w:sz w:val="18"/>
          <w:szCs w:val="18"/>
        </w:rPr>
        <w:t xml:space="preserve"> Fideicomiso Centro Histórico de la Ciudad de México y Fideicomiso Educación Garantizada del Distrito Federal.</w:t>
      </w:r>
    </w:p>
  </w:footnote>
  <w:footnote w:id="40">
    <w:p w:rsidR="007C0694" w:rsidRPr="007014A4" w:rsidRDefault="007C0694" w:rsidP="007014A4">
      <w:pPr>
        <w:pStyle w:val="Textonotapie"/>
        <w:jc w:val="both"/>
        <w:rPr>
          <w:rFonts w:ascii="Arial Narrow" w:hAnsi="Arial Narrow"/>
          <w:sz w:val="18"/>
          <w:szCs w:val="18"/>
        </w:rPr>
      </w:pPr>
      <w:r w:rsidRPr="007014A4">
        <w:rPr>
          <w:rStyle w:val="Refdenotaalpie"/>
          <w:rFonts w:ascii="Arial Narrow" w:hAnsi="Arial Narrow"/>
          <w:sz w:val="18"/>
          <w:szCs w:val="18"/>
        </w:rPr>
        <w:footnoteRef/>
      </w:r>
      <w:r w:rsidRPr="007014A4">
        <w:rPr>
          <w:rFonts w:ascii="Arial Narrow" w:hAnsi="Arial Narrow"/>
          <w:sz w:val="18"/>
          <w:szCs w:val="18"/>
        </w:rPr>
        <w:t xml:space="preserve"> Fideicomiso para la Promoción y Desarrollo del Cine Mexicano en el Distrito Federal, Fideicomiso Público Complejo Ambiental Xochimilco y Fondo para la Atención y Apoyo a las Víctimas del Delito.</w:t>
      </w:r>
    </w:p>
  </w:footnote>
  <w:footnote w:id="41">
    <w:p w:rsidR="007C0694" w:rsidRPr="007014A4" w:rsidRDefault="007C0694" w:rsidP="007014A4">
      <w:pPr>
        <w:pStyle w:val="Textonotapie"/>
        <w:jc w:val="both"/>
        <w:rPr>
          <w:rFonts w:ascii="Arial Narrow" w:hAnsi="Arial Narrow"/>
          <w:sz w:val="18"/>
          <w:szCs w:val="18"/>
        </w:rPr>
      </w:pPr>
      <w:r w:rsidRPr="007014A4">
        <w:rPr>
          <w:rStyle w:val="Refdenotaalpie"/>
          <w:rFonts w:ascii="Arial Narrow" w:hAnsi="Arial Narrow"/>
          <w:sz w:val="18"/>
          <w:szCs w:val="18"/>
        </w:rPr>
        <w:footnoteRef/>
      </w:r>
      <w:r w:rsidRPr="007014A4">
        <w:rPr>
          <w:rFonts w:ascii="Arial Narrow" w:hAnsi="Arial Narrow"/>
          <w:sz w:val="18"/>
          <w:szCs w:val="18"/>
        </w:rPr>
        <w:t xml:space="preserve"> Fideicomiso Centro Histórico de la Ciudad de México, Fideicomiso Museo de Arte Popular Mexicano y Fondo Mixto de Promoción Turística del Distrito Federal.</w:t>
      </w:r>
    </w:p>
  </w:footnote>
  <w:footnote w:id="42">
    <w:p w:rsidR="007C0694" w:rsidRPr="007014A4" w:rsidRDefault="007C0694" w:rsidP="007014A4">
      <w:pPr>
        <w:pStyle w:val="Textonotapie"/>
        <w:jc w:val="both"/>
        <w:rPr>
          <w:rFonts w:ascii="Arial Narrow" w:hAnsi="Arial Narrow"/>
          <w:sz w:val="18"/>
          <w:szCs w:val="18"/>
        </w:rPr>
      </w:pPr>
      <w:r w:rsidRPr="007014A4">
        <w:rPr>
          <w:rStyle w:val="Refdenotaalpie"/>
          <w:rFonts w:ascii="Arial Narrow" w:hAnsi="Arial Narrow"/>
          <w:sz w:val="18"/>
          <w:szCs w:val="18"/>
        </w:rPr>
        <w:footnoteRef/>
      </w:r>
      <w:r w:rsidRPr="007014A4">
        <w:rPr>
          <w:rFonts w:ascii="Arial Narrow" w:hAnsi="Arial Narrow"/>
          <w:sz w:val="18"/>
          <w:szCs w:val="18"/>
        </w:rPr>
        <w:t xml:space="preserve"> Fideicomiso de Recuperación Crediticia de la Ciudad de México, Fideicomiso Fondo para el Desarrollo Económico y Social de la Ciudad de México, Fideicomiso Museo del Estanquillo, Fondo Ambiental Público del Distrito Federal, Fondo de Desarrollo Económico del Distrito Federal, Fondo para el Desarrollo Social de la Ciudad de México, Fondo para la Atención y Apoyo a las Víctimas del Delito y Fideicomiso Educación Garantizada del Distrito Federal.</w:t>
      </w:r>
    </w:p>
  </w:footnote>
  <w:footnote w:id="43">
    <w:p w:rsidR="007C0694" w:rsidRPr="007014A4" w:rsidRDefault="007C0694" w:rsidP="007014A4">
      <w:pPr>
        <w:pStyle w:val="Textonotapie"/>
        <w:jc w:val="both"/>
        <w:rPr>
          <w:rFonts w:ascii="Arial Narrow" w:hAnsi="Arial Narrow"/>
          <w:sz w:val="18"/>
          <w:szCs w:val="18"/>
        </w:rPr>
      </w:pPr>
      <w:r w:rsidRPr="007014A4">
        <w:rPr>
          <w:rStyle w:val="Refdenotaalpie"/>
          <w:rFonts w:ascii="Arial Narrow" w:hAnsi="Arial Narrow"/>
          <w:sz w:val="18"/>
          <w:szCs w:val="18"/>
        </w:rPr>
        <w:footnoteRef/>
      </w:r>
      <w:r w:rsidRPr="007014A4">
        <w:rPr>
          <w:rFonts w:ascii="Arial Narrow" w:hAnsi="Arial Narrow"/>
          <w:sz w:val="18"/>
          <w:szCs w:val="18"/>
        </w:rPr>
        <w:t xml:space="preserve"> Fideicomiso para el Fondo de Promoción para el Financiamiento del Transporte Público, Fideicomiso para la Promoción y Desarrollo del Cine Mexicano en el Distrito Federal, Fideicomiso Público Complejo Ambiental Xochimilco, Fideicomiso Público del Fondo de Apoyo a la Procuración de Justicia del Distrito Federal y Fideicomiso Público de la Zona de Santa Fe.</w:t>
      </w:r>
    </w:p>
  </w:footnote>
  <w:footnote w:id="44">
    <w:p w:rsidR="007C0694" w:rsidRPr="007014A4" w:rsidRDefault="007C0694" w:rsidP="007014A4">
      <w:pPr>
        <w:pStyle w:val="Textonotapie"/>
        <w:jc w:val="both"/>
        <w:rPr>
          <w:rFonts w:ascii="Arial Narrow" w:hAnsi="Arial Narrow"/>
          <w:sz w:val="18"/>
          <w:szCs w:val="18"/>
        </w:rPr>
      </w:pPr>
      <w:r w:rsidRPr="007014A4">
        <w:rPr>
          <w:rStyle w:val="Refdenotaalpie"/>
          <w:rFonts w:ascii="Arial Narrow" w:hAnsi="Arial Narrow"/>
          <w:sz w:val="18"/>
          <w:szCs w:val="18"/>
        </w:rPr>
        <w:footnoteRef/>
      </w:r>
      <w:r w:rsidRPr="007014A4">
        <w:rPr>
          <w:rFonts w:ascii="Arial Narrow" w:hAnsi="Arial Narrow"/>
          <w:sz w:val="18"/>
          <w:szCs w:val="18"/>
        </w:rPr>
        <w:t xml:space="preserve"> Fideicomiso Centro Histórico de la Ciudad de México, Fideicomiso de Recuperación Crediticia de la Ciudad de México, Fideicomiso Museo de Arte Popular Mexicano, Fideicomiso Museo del Estanquillo, Fideicomiso para el Fondo de Promoción para el Financiamiento del Transporte Público, Fideicomiso Público Complejo Ambiental Xochimilco, Fideicomiso Público de la Zona de Santa Fe, Fondo Mixto de Promoción Turística del Distrito Federal, Fondo para el Desarrollo Social de la Ciudad de México, Fondo para la Atención y Apoyo a las Víctimas del Delito y Fideicomiso Educación Garantizada del Distrito Federal.</w:t>
      </w:r>
    </w:p>
  </w:footnote>
  <w:footnote w:id="45">
    <w:p w:rsidR="007C0694" w:rsidRPr="007014A4" w:rsidRDefault="007C0694" w:rsidP="007014A4">
      <w:pPr>
        <w:pStyle w:val="Textonotapie"/>
        <w:jc w:val="both"/>
        <w:rPr>
          <w:rFonts w:ascii="Arial Narrow" w:hAnsi="Arial Narrow"/>
          <w:sz w:val="18"/>
          <w:szCs w:val="18"/>
        </w:rPr>
      </w:pPr>
      <w:r w:rsidRPr="007014A4">
        <w:rPr>
          <w:rStyle w:val="Refdenotaalpie"/>
          <w:rFonts w:ascii="Arial Narrow" w:hAnsi="Arial Narrow"/>
          <w:sz w:val="18"/>
          <w:szCs w:val="18"/>
        </w:rPr>
        <w:footnoteRef/>
      </w:r>
      <w:r w:rsidRPr="007014A4">
        <w:rPr>
          <w:rFonts w:ascii="Arial Narrow" w:hAnsi="Arial Narrow"/>
          <w:sz w:val="18"/>
          <w:szCs w:val="18"/>
        </w:rPr>
        <w:t xml:space="preserve"> Fideicomiso Público del Fondo de Apoyo a la Procuración de Justicia del Distrito Federal, Fondo Ambiental Público del Distrito Federal y Fondo de Desarrollo Económico del Distrito Federal.</w:t>
      </w:r>
    </w:p>
  </w:footnote>
  <w:footnote w:id="46">
    <w:p w:rsidR="007C0694" w:rsidRPr="007014A4" w:rsidRDefault="007C0694" w:rsidP="007014A4">
      <w:pPr>
        <w:pStyle w:val="Textonotapie"/>
        <w:jc w:val="both"/>
        <w:rPr>
          <w:rFonts w:ascii="Arial Narrow" w:hAnsi="Arial Narrow"/>
          <w:sz w:val="18"/>
          <w:szCs w:val="18"/>
        </w:rPr>
      </w:pPr>
      <w:r w:rsidRPr="007014A4">
        <w:rPr>
          <w:rStyle w:val="Refdenotaalpie"/>
          <w:rFonts w:ascii="Arial Narrow" w:hAnsi="Arial Narrow"/>
          <w:sz w:val="18"/>
          <w:szCs w:val="18"/>
        </w:rPr>
        <w:footnoteRef/>
      </w:r>
      <w:r w:rsidRPr="007014A4">
        <w:rPr>
          <w:rFonts w:ascii="Arial Narrow" w:hAnsi="Arial Narrow"/>
          <w:sz w:val="18"/>
          <w:szCs w:val="18"/>
        </w:rPr>
        <w:t xml:space="preserve"> Fideicomiso Fondo para el Desarrollo Económico y Social de la Ciudad de México y Fideicomiso para la Promoción y Desarrollo del Cine Mexicano en el Distrito Federal.</w:t>
      </w:r>
    </w:p>
  </w:footnote>
  <w:footnote w:id="47">
    <w:p w:rsidR="007C0694" w:rsidRPr="007014A4" w:rsidRDefault="007C0694" w:rsidP="007014A4">
      <w:pPr>
        <w:pStyle w:val="Textonotapie"/>
        <w:contextualSpacing/>
        <w:jc w:val="both"/>
        <w:rPr>
          <w:rFonts w:ascii="Arial Narrow" w:hAnsi="Arial Narrow"/>
          <w:sz w:val="18"/>
          <w:szCs w:val="18"/>
        </w:rPr>
      </w:pPr>
      <w:r w:rsidRPr="007014A4">
        <w:rPr>
          <w:rStyle w:val="Refdenotaalpie"/>
          <w:rFonts w:ascii="Arial Narrow" w:hAnsi="Arial Narrow"/>
          <w:sz w:val="18"/>
          <w:szCs w:val="18"/>
        </w:rPr>
        <w:footnoteRef/>
      </w:r>
      <w:r w:rsidRPr="007014A4">
        <w:rPr>
          <w:rFonts w:ascii="Arial Narrow" w:hAnsi="Arial Narrow"/>
          <w:sz w:val="18"/>
          <w:szCs w:val="18"/>
        </w:rPr>
        <w:t xml:space="preserve"> </w:t>
      </w:r>
      <w:r>
        <w:rPr>
          <w:rFonts w:ascii="Arial Narrow" w:hAnsi="Arial Narrow" w:cs="Arial"/>
          <w:sz w:val="18"/>
          <w:szCs w:val="18"/>
        </w:rPr>
        <w:t>Demarcación Política</w:t>
      </w:r>
      <w:r w:rsidRPr="007014A4">
        <w:rPr>
          <w:rFonts w:ascii="Arial Narrow" w:hAnsi="Arial Narrow" w:cs="Arial"/>
          <w:sz w:val="18"/>
          <w:szCs w:val="18"/>
        </w:rPr>
        <w:t xml:space="preserve"> Venustiano Carranza, </w:t>
      </w:r>
      <w:r>
        <w:rPr>
          <w:rFonts w:ascii="Arial Narrow" w:hAnsi="Arial Narrow" w:cs="Arial"/>
          <w:sz w:val="18"/>
          <w:szCs w:val="18"/>
        </w:rPr>
        <w:t>Demarcación Política</w:t>
      </w:r>
      <w:r w:rsidRPr="007014A4">
        <w:rPr>
          <w:rFonts w:ascii="Arial Narrow" w:hAnsi="Arial Narrow" w:cs="Arial"/>
          <w:sz w:val="18"/>
          <w:szCs w:val="18"/>
        </w:rPr>
        <w:t xml:space="preserve"> Cuauhtémoc, </w:t>
      </w:r>
      <w:r>
        <w:rPr>
          <w:rFonts w:ascii="Arial Narrow" w:hAnsi="Arial Narrow" w:cs="Arial"/>
          <w:sz w:val="18"/>
          <w:szCs w:val="18"/>
        </w:rPr>
        <w:t>Demarcación Política</w:t>
      </w:r>
      <w:r w:rsidRPr="007014A4">
        <w:rPr>
          <w:rFonts w:ascii="Arial Narrow" w:hAnsi="Arial Narrow" w:cs="Arial"/>
          <w:sz w:val="18"/>
          <w:szCs w:val="18"/>
        </w:rPr>
        <w:t xml:space="preserve"> Álvaro Obregón, </w:t>
      </w:r>
      <w:r>
        <w:rPr>
          <w:rFonts w:ascii="Arial Narrow" w:hAnsi="Arial Narrow" w:cs="Arial"/>
          <w:sz w:val="18"/>
          <w:szCs w:val="18"/>
        </w:rPr>
        <w:t>Demarcación Política</w:t>
      </w:r>
      <w:r w:rsidRPr="007014A4">
        <w:rPr>
          <w:rFonts w:ascii="Arial Narrow" w:hAnsi="Arial Narrow" w:cs="Arial"/>
          <w:sz w:val="18"/>
          <w:szCs w:val="18"/>
        </w:rPr>
        <w:t xml:space="preserve"> Cuajimalpa de Morelos, </w:t>
      </w:r>
      <w:r>
        <w:rPr>
          <w:rFonts w:ascii="Arial Narrow" w:hAnsi="Arial Narrow" w:cs="Arial"/>
          <w:sz w:val="18"/>
          <w:szCs w:val="18"/>
        </w:rPr>
        <w:t>Demarcación Política</w:t>
      </w:r>
      <w:r w:rsidRPr="007014A4">
        <w:rPr>
          <w:rFonts w:ascii="Arial Narrow" w:hAnsi="Arial Narrow" w:cs="Arial"/>
          <w:sz w:val="18"/>
          <w:szCs w:val="18"/>
        </w:rPr>
        <w:t xml:space="preserve"> Tláhuac, </w:t>
      </w:r>
      <w:r>
        <w:rPr>
          <w:rFonts w:ascii="Arial Narrow" w:hAnsi="Arial Narrow" w:cs="Arial"/>
          <w:sz w:val="18"/>
          <w:szCs w:val="18"/>
        </w:rPr>
        <w:t>Demarcación Política</w:t>
      </w:r>
      <w:r w:rsidRPr="007014A4">
        <w:rPr>
          <w:rFonts w:ascii="Arial Narrow" w:hAnsi="Arial Narrow" w:cs="Arial"/>
          <w:sz w:val="18"/>
          <w:szCs w:val="18"/>
        </w:rPr>
        <w:t xml:space="preserve"> La Magdalena Contreras, </w:t>
      </w:r>
      <w:r>
        <w:rPr>
          <w:rFonts w:ascii="Arial Narrow" w:hAnsi="Arial Narrow" w:cs="Arial"/>
          <w:sz w:val="18"/>
          <w:szCs w:val="18"/>
        </w:rPr>
        <w:t>Demarcación Política</w:t>
      </w:r>
      <w:r w:rsidRPr="007014A4">
        <w:rPr>
          <w:rFonts w:ascii="Arial Narrow" w:hAnsi="Arial Narrow" w:cs="Arial"/>
          <w:sz w:val="18"/>
          <w:szCs w:val="18"/>
        </w:rPr>
        <w:t xml:space="preserve"> Gustavo A. Madero, </w:t>
      </w:r>
      <w:r>
        <w:rPr>
          <w:rFonts w:ascii="Arial Narrow" w:hAnsi="Arial Narrow" w:cs="Arial"/>
          <w:sz w:val="18"/>
          <w:szCs w:val="18"/>
        </w:rPr>
        <w:t>Demarcación Política</w:t>
      </w:r>
      <w:r w:rsidRPr="007014A4">
        <w:rPr>
          <w:rFonts w:ascii="Arial Narrow" w:hAnsi="Arial Narrow" w:cs="Arial"/>
          <w:sz w:val="18"/>
          <w:szCs w:val="18"/>
        </w:rPr>
        <w:t xml:space="preserve"> Milpa Alta y la </w:t>
      </w:r>
      <w:r>
        <w:rPr>
          <w:rFonts w:ascii="Arial Narrow" w:hAnsi="Arial Narrow" w:cs="Arial"/>
          <w:sz w:val="18"/>
          <w:szCs w:val="18"/>
        </w:rPr>
        <w:t>Demarcación Política</w:t>
      </w:r>
      <w:r w:rsidRPr="007014A4">
        <w:rPr>
          <w:rFonts w:ascii="Arial Narrow" w:hAnsi="Arial Narrow" w:cs="Arial"/>
          <w:sz w:val="18"/>
          <w:szCs w:val="18"/>
        </w:rPr>
        <w:t xml:space="preserve"> Tlalpan.</w:t>
      </w:r>
    </w:p>
  </w:footnote>
  <w:footnote w:id="48">
    <w:p w:rsidR="007C0694" w:rsidRPr="007014A4" w:rsidRDefault="007C0694" w:rsidP="007014A4">
      <w:pPr>
        <w:pStyle w:val="Textonotapie"/>
        <w:contextualSpacing/>
        <w:jc w:val="both"/>
        <w:rPr>
          <w:rFonts w:ascii="Arial Narrow" w:hAnsi="Arial Narrow"/>
          <w:sz w:val="18"/>
          <w:szCs w:val="18"/>
        </w:rPr>
      </w:pPr>
      <w:r w:rsidRPr="007014A4">
        <w:rPr>
          <w:rStyle w:val="Refdenotaalpie"/>
          <w:rFonts w:ascii="Arial Narrow" w:hAnsi="Arial Narrow"/>
          <w:sz w:val="18"/>
          <w:szCs w:val="18"/>
        </w:rPr>
        <w:footnoteRef/>
      </w:r>
      <w:r w:rsidRPr="007014A4">
        <w:rPr>
          <w:rFonts w:ascii="Arial Narrow" w:hAnsi="Arial Narrow"/>
          <w:sz w:val="18"/>
          <w:szCs w:val="18"/>
        </w:rPr>
        <w:t xml:space="preserve"> </w:t>
      </w:r>
      <w:r>
        <w:rPr>
          <w:rFonts w:ascii="Arial Narrow" w:hAnsi="Arial Narrow" w:cs="Arial"/>
          <w:sz w:val="18"/>
          <w:szCs w:val="18"/>
        </w:rPr>
        <w:t>Demarcación Política</w:t>
      </w:r>
      <w:r w:rsidRPr="007014A4">
        <w:rPr>
          <w:rFonts w:ascii="Arial Narrow" w:hAnsi="Arial Narrow" w:cs="Arial"/>
          <w:sz w:val="18"/>
          <w:szCs w:val="18"/>
        </w:rPr>
        <w:t xml:space="preserve"> Coyoacán, </w:t>
      </w:r>
      <w:r>
        <w:rPr>
          <w:rFonts w:ascii="Arial Narrow" w:hAnsi="Arial Narrow" w:cs="Arial"/>
          <w:sz w:val="18"/>
          <w:szCs w:val="18"/>
        </w:rPr>
        <w:t>Demarcación Política</w:t>
      </w:r>
      <w:r w:rsidRPr="007014A4">
        <w:rPr>
          <w:rFonts w:ascii="Arial Narrow" w:hAnsi="Arial Narrow" w:cs="Arial"/>
          <w:sz w:val="18"/>
          <w:szCs w:val="18"/>
        </w:rPr>
        <w:t xml:space="preserve"> Miguel Hidalgo, </w:t>
      </w:r>
      <w:r>
        <w:rPr>
          <w:rFonts w:ascii="Arial Narrow" w:hAnsi="Arial Narrow" w:cs="Arial"/>
          <w:sz w:val="18"/>
          <w:szCs w:val="18"/>
        </w:rPr>
        <w:t>Demarcación Política</w:t>
      </w:r>
      <w:r w:rsidRPr="007014A4">
        <w:rPr>
          <w:rFonts w:ascii="Arial Narrow" w:hAnsi="Arial Narrow" w:cs="Arial"/>
          <w:sz w:val="18"/>
          <w:szCs w:val="18"/>
        </w:rPr>
        <w:t xml:space="preserve"> Azcapotzalco, </w:t>
      </w:r>
      <w:r>
        <w:rPr>
          <w:rFonts w:ascii="Arial Narrow" w:hAnsi="Arial Narrow" w:cs="Arial"/>
          <w:sz w:val="18"/>
          <w:szCs w:val="18"/>
        </w:rPr>
        <w:t>Demarcación Política</w:t>
      </w:r>
      <w:r w:rsidRPr="007014A4">
        <w:rPr>
          <w:rFonts w:ascii="Arial Narrow" w:hAnsi="Arial Narrow" w:cs="Arial"/>
          <w:sz w:val="18"/>
          <w:szCs w:val="18"/>
        </w:rPr>
        <w:t xml:space="preserve"> Benito Juárez, </w:t>
      </w:r>
      <w:r>
        <w:rPr>
          <w:rFonts w:ascii="Arial Narrow" w:hAnsi="Arial Narrow" w:cs="Arial"/>
          <w:sz w:val="18"/>
          <w:szCs w:val="18"/>
        </w:rPr>
        <w:t>Demarcación Política</w:t>
      </w:r>
      <w:r w:rsidRPr="007014A4">
        <w:rPr>
          <w:rFonts w:ascii="Arial Narrow" w:hAnsi="Arial Narrow" w:cs="Arial"/>
          <w:sz w:val="18"/>
          <w:szCs w:val="18"/>
        </w:rPr>
        <w:t xml:space="preserve"> Iztapalapa, </w:t>
      </w:r>
      <w:r>
        <w:rPr>
          <w:rFonts w:ascii="Arial Narrow" w:hAnsi="Arial Narrow" w:cs="Arial"/>
          <w:sz w:val="18"/>
          <w:szCs w:val="18"/>
        </w:rPr>
        <w:t>Demarcación Política</w:t>
      </w:r>
      <w:r w:rsidRPr="007014A4">
        <w:rPr>
          <w:rFonts w:ascii="Arial Narrow" w:hAnsi="Arial Narrow" w:cs="Arial"/>
          <w:sz w:val="18"/>
          <w:szCs w:val="18"/>
        </w:rPr>
        <w:t xml:space="preserve"> Xochimilco, </w:t>
      </w:r>
      <w:r>
        <w:rPr>
          <w:rFonts w:ascii="Arial Narrow" w:hAnsi="Arial Narrow" w:cs="Arial"/>
          <w:sz w:val="18"/>
          <w:szCs w:val="18"/>
        </w:rPr>
        <w:t>Demarcación Política</w:t>
      </w:r>
      <w:r w:rsidRPr="007014A4">
        <w:rPr>
          <w:rFonts w:ascii="Arial Narrow" w:hAnsi="Arial Narrow" w:cs="Arial"/>
          <w:sz w:val="18"/>
          <w:szCs w:val="18"/>
        </w:rPr>
        <w:t xml:space="preserve"> Iztacalco.</w:t>
      </w:r>
    </w:p>
  </w:footnote>
  <w:footnote w:id="49">
    <w:p w:rsidR="007C0694" w:rsidRPr="007014A4" w:rsidRDefault="007C0694" w:rsidP="007014A4">
      <w:pPr>
        <w:pStyle w:val="Textonotapie"/>
        <w:jc w:val="both"/>
        <w:rPr>
          <w:rFonts w:ascii="Arial Narrow" w:hAnsi="Arial Narrow"/>
          <w:sz w:val="18"/>
          <w:szCs w:val="18"/>
        </w:rPr>
      </w:pPr>
      <w:r w:rsidRPr="007014A4">
        <w:rPr>
          <w:rStyle w:val="Refdenotaalpie"/>
          <w:rFonts w:ascii="Arial Narrow" w:hAnsi="Arial Narrow"/>
          <w:sz w:val="18"/>
          <w:szCs w:val="18"/>
        </w:rPr>
        <w:footnoteRef/>
      </w:r>
      <w:r w:rsidRPr="007014A4">
        <w:rPr>
          <w:rFonts w:ascii="Arial Narrow" w:hAnsi="Arial Narrow"/>
          <w:sz w:val="18"/>
          <w:szCs w:val="18"/>
        </w:rPr>
        <w:t xml:space="preserve"> </w:t>
      </w:r>
      <w:r>
        <w:rPr>
          <w:rFonts w:ascii="Arial Narrow" w:hAnsi="Arial Narrow"/>
          <w:sz w:val="18"/>
          <w:szCs w:val="18"/>
        </w:rPr>
        <w:t>Demarcación Política</w:t>
      </w:r>
      <w:r w:rsidRPr="007014A4">
        <w:rPr>
          <w:rFonts w:ascii="Arial Narrow" w:hAnsi="Arial Narrow"/>
          <w:sz w:val="18"/>
          <w:szCs w:val="18"/>
        </w:rPr>
        <w:t xml:space="preserve"> Benito Juárez, </w:t>
      </w:r>
      <w:r>
        <w:rPr>
          <w:rFonts w:ascii="Arial Narrow" w:hAnsi="Arial Narrow"/>
          <w:sz w:val="18"/>
          <w:szCs w:val="18"/>
        </w:rPr>
        <w:t>Demarcación Política</w:t>
      </w:r>
      <w:r w:rsidRPr="007014A4">
        <w:rPr>
          <w:rFonts w:ascii="Arial Narrow" w:hAnsi="Arial Narrow"/>
          <w:sz w:val="18"/>
          <w:szCs w:val="18"/>
        </w:rPr>
        <w:t xml:space="preserve"> La Magdalena Contreras, </w:t>
      </w:r>
      <w:r>
        <w:rPr>
          <w:rFonts w:ascii="Arial Narrow" w:hAnsi="Arial Narrow"/>
          <w:sz w:val="18"/>
          <w:szCs w:val="18"/>
        </w:rPr>
        <w:t>Demarcación Política</w:t>
      </w:r>
      <w:r w:rsidRPr="007014A4">
        <w:rPr>
          <w:rFonts w:ascii="Arial Narrow" w:hAnsi="Arial Narrow"/>
          <w:sz w:val="18"/>
          <w:szCs w:val="18"/>
        </w:rPr>
        <w:t xml:space="preserve"> Álvaro Obregón, </w:t>
      </w:r>
      <w:r>
        <w:rPr>
          <w:rFonts w:ascii="Arial Narrow" w:hAnsi="Arial Narrow"/>
          <w:sz w:val="18"/>
          <w:szCs w:val="18"/>
        </w:rPr>
        <w:t>Demarcación Política</w:t>
      </w:r>
      <w:r w:rsidRPr="007014A4">
        <w:rPr>
          <w:rFonts w:ascii="Arial Narrow" w:hAnsi="Arial Narrow"/>
          <w:sz w:val="18"/>
          <w:szCs w:val="18"/>
        </w:rPr>
        <w:t xml:space="preserve"> Cuajimalpa de Morelos, </w:t>
      </w:r>
      <w:r>
        <w:rPr>
          <w:rFonts w:ascii="Arial Narrow" w:hAnsi="Arial Narrow"/>
          <w:sz w:val="18"/>
          <w:szCs w:val="18"/>
        </w:rPr>
        <w:t>Demarcación Política</w:t>
      </w:r>
      <w:r w:rsidRPr="007014A4">
        <w:rPr>
          <w:rFonts w:ascii="Arial Narrow" w:hAnsi="Arial Narrow"/>
          <w:sz w:val="18"/>
          <w:szCs w:val="18"/>
        </w:rPr>
        <w:t xml:space="preserve"> Cuauhtémoc, </w:t>
      </w:r>
      <w:r>
        <w:rPr>
          <w:rFonts w:ascii="Arial Narrow" w:hAnsi="Arial Narrow"/>
          <w:sz w:val="18"/>
          <w:szCs w:val="18"/>
        </w:rPr>
        <w:t>Demarcación Política</w:t>
      </w:r>
      <w:r w:rsidRPr="007014A4">
        <w:rPr>
          <w:rFonts w:ascii="Arial Narrow" w:hAnsi="Arial Narrow"/>
          <w:sz w:val="18"/>
          <w:szCs w:val="18"/>
        </w:rPr>
        <w:t xml:space="preserve"> Gustavo A. Madero, </w:t>
      </w:r>
      <w:r>
        <w:rPr>
          <w:rFonts w:ascii="Arial Narrow" w:hAnsi="Arial Narrow"/>
          <w:sz w:val="18"/>
          <w:szCs w:val="18"/>
        </w:rPr>
        <w:t>Demarcación Política</w:t>
      </w:r>
      <w:r w:rsidRPr="007014A4">
        <w:rPr>
          <w:rFonts w:ascii="Arial Narrow" w:hAnsi="Arial Narrow"/>
          <w:sz w:val="18"/>
          <w:szCs w:val="18"/>
        </w:rPr>
        <w:t xml:space="preserve"> Iztapalapa, </w:t>
      </w:r>
      <w:r>
        <w:rPr>
          <w:rFonts w:ascii="Arial Narrow" w:hAnsi="Arial Narrow"/>
          <w:sz w:val="18"/>
          <w:szCs w:val="18"/>
        </w:rPr>
        <w:t>Demarcación Política</w:t>
      </w:r>
      <w:r w:rsidRPr="007014A4">
        <w:rPr>
          <w:rFonts w:ascii="Arial Narrow" w:hAnsi="Arial Narrow"/>
          <w:sz w:val="18"/>
          <w:szCs w:val="18"/>
        </w:rPr>
        <w:t xml:space="preserve"> Miguel Hidalgo, </w:t>
      </w:r>
      <w:r>
        <w:rPr>
          <w:rFonts w:ascii="Arial Narrow" w:hAnsi="Arial Narrow"/>
          <w:sz w:val="18"/>
          <w:szCs w:val="18"/>
        </w:rPr>
        <w:t>Demarcación Política</w:t>
      </w:r>
      <w:r w:rsidRPr="007014A4">
        <w:rPr>
          <w:rFonts w:ascii="Arial Narrow" w:hAnsi="Arial Narrow"/>
          <w:sz w:val="18"/>
          <w:szCs w:val="18"/>
        </w:rPr>
        <w:t xml:space="preserve"> Milpa Alta, </w:t>
      </w:r>
      <w:r>
        <w:rPr>
          <w:rFonts w:ascii="Arial Narrow" w:hAnsi="Arial Narrow"/>
          <w:sz w:val="18"/>
          <w:szCs w:val="18"/>
        </w:rPr>
        <w:t>Demarcación Política</w:t>
      </w:r>
      <w:r w:rsidRPr="007014A4">
        <w:rPr>
          <w:rFonts w:ascii="Arial Narrow" w:hAnsi="Arial Narrow"/>
          <w:sz w:val="18"/>
          <w:szCs w:val="18"/>
        </w:rPr>
        <w:t xml:space="preserve"> Tláhuac, </w:t>
      </w:r>
      <w:r>
        <w:rPr>
          <w:rFonts w:ascii="Arial Narrow" w:hAnsi="Arial Narrow"/>
          <w:sz w:val="18"/>
          <w:szCs w:val="18"/>
        </w:rPr>
        <w:t>Demarcación Política</w:t>
      </w:r>
      <w:r w:rsidRPr="007014A4">
        <w:rPr>
          <w:rFonts w:ascii="Arial Narrow" w:hAnsi="Arial Narrow"/>
          <w:sz w:val="18"/>
          <w:szCs w:val="18"/>
        </w:rPr>
        <w:t xml:space="preserve"> Coyoacán, </w:t>
      </w:r>
      <w:r>
        <w:rPr>
          <w:rFonts w:ascii="Arial Narrow" w:hAnsi="Arial Narrow"/>
          <w:sz w:val="18"/>
          <w:szCs w:val="18"/>
        </w:rPr>
        <w:t>Demarcación Política</w:t>
      </w:r>
      <w:r w:rsidRPr="007014A4">
        <w:rPr>
          <w:rFonts w:ascii="Arial Narrow" w:hAnsi="Arial Narrow"/>
          <w:sz w:val="18"/>
          <w:szCs w:val="18"/>
        </w:rPr>
        <w:t xml:space="preserve"> Tlalpan y la </w:t>
      </w:r>
      <w:r>
        <w:rPr>
          <w:rFonts w:ascii="Arial Narrow" w:hAnsi="Arial Narrow"/>
          <w:sz w:val="18"/>
          <w:szCs w:val="18"/>
        </w:rPr>
        <w:t>Demarcación Política</w:t>
      </w:r>
      <w:r w:rsidRPr="007014A4">
        <w:rPr>
          <w:rFonts w:ascii="Arial Narrow" w:hAnsi="Arial Narrow"/>
          <w:sz w:val="18"/>
          <w:szCs w:val="18"/>
        </w:rPr>
        <w:t xml:space="preserve"> Venustiano Carranza.</w:t>
      </w:r>
    </w:p>
  </w:footnote>
  <w:footnote w:id="50">
    <w:p w:rsidR="007C0694" w:rsidRPr="007014A4" w:rsidRDefault="007C0694" w:rsidP="007014A4">
      <w:pPr>
        <w:pStyle w:val="Textonotapie"/>
        <w:jc w:val="both"/>
        <w:rPr>
          <w:rFonts w:ascii="Arial Narrow" w:hAnsi="Arial Narrow"/>
          <w:sz w:val="18"/>
          <w:szCs w:val="18"/>
        </w:rPr>
      </w:pPr>
      <w:r w:rsidRPr="007014A4">
        <w:rPr>
          <w:rStyle w:val="Refdenotaalpie"/>
          <w:rFonts w:ascii="Arial Narrow" w:hAnsi="Arial Narrow"/>
          <w:sz w:val="18"/>
          <w:szCs w:val="18"/>
        </w:rPr>
        <w:footnoteRef/>
      </w:r>
      <w:r w:rsidRPr="007014A4">
        <w:rPr>
          <w:rFonts w:ascii="Arial Narrow" w:hAnsi="Arial Narrow"/>
          <w:sz w:val="18"/>
          <w:szCs w:val="18"/>
        </w:rPr>
        <w:t xml:space="preserve"> </w:t>
      </w:r>
      <w:r>
        <w:rPr>
          <w:rFonts w:ascii="Arial Narrow" w:hAnsi="Arial Narrow"/>
          <w:sz w:val="18"/>
          <w:szCs w:val="18"/>
        </w:rPr>
        <w:t>Demarcación Política</w:t>
      </w:r>
      <w:r w:rsidRPr="007014A4">
        <w:rPr>
          <w:rFonts w:ascii="Arial Narrow" w:hAnsi="Arial Narrow"/>
          <w:sz w:val="18"/>
          <w:szCs w:val="18"/>
        </w:rPr>
        <w:t xml:space="preserve"> Benito Juárez, </w:t>
      </w:r>
      <w:r>
        <w:rPr>
          <w:rFonts w:ascii="Arial Narrow" w:hAnsi="Arial Narrow"/>
          <w:sz w:val="18"/>
          <w:szCs w:val="18"/>
        </w:rPr>
        <w:t>Demarcación Política</w:t>
      </w:r>
      <w:r w:rsidRPr="007014A4">
        <w:rPr>
          <w:rFonts w:ascii="Arial Narrow" w:hAnsi="Arial Narrow"/>
          <w:sz w:val="18"/>
          <w:szCs w:val="18"/>
        </w:rPr>
        <w:t xml:space="preserve"> La Magdalena Contreras y la </w:t>
      </w:r>
      <w:r>
        <w:rPr>
          <w:rFonts w:ascii="Arial Narrow" w:hAnsi="Arial Narrow"/>
          <w:sz w:val="18"/>
          <w:szCs w:val="18"/>
        </w:rPr>
        <w:t>Demarcación Política</w:t>
      </w:r>
      <w:r w:rsidRPr="007014A4">
        <w:rPr>
          <w:rFonts w:ascii="Arial Narrow" w:hAnsi="Arial Narrow"/>
          <w:sz w:val="18"/>
          <w:szCs w:val="18"/>
        </w:rPr>
        <w:t xml:space="preserve"> Xochimilco.</w:t>
      </w:r>
    </w:p>
  </w:footnote>
  <w:footnote w:id="51">
    <w:p w:rsidR="007C0694" w:rsidRPr="007014A4" w:rsidRDefault="007C0694" w:rsidP="007014A4">
      <w:pPr>
        <w:pStyle w:val="Textonotapie"/>
        <w:jc w:val="both"/>
        <w:rPr>
          <w:rFonts w:ascii="Arial Narrow" w:hAnsi="Arial Narrow"/>
          <w:sz w:val="18"/>
          <w:szCs w:val="18"/>
        </w:rPr>
      </w:pPr>
      <w:r w:rsidRPr="007014A4">
        <w:rPr>
          <w:rStyle w:val="Refdenotaalpie"/>
          <w:rFonts w:ascii="Arial Narrow" w:hAnsi="Arial Narrow"/>
          <w:sz w:val="18"/>
          <w:szCs w:val="18"/>
        </w:rPr>
        <w:footnoteRef/>
      </w:r>
      <w:r w:rsidRPr="007014A4">
        <w:rPr>
          <w:rFonts w:ascii="Arial Narrow" w:hAnsi="Arial Narrow"/>
          <w:sz w:val="18"/>
          <w:szCs w:val="18"/>
        </w:rPr>
        <w:t xml:space="preserve"> </w:t>
      </w:r>
      <w:r>
        <w:rPr>
          <w:rFonts w:ascii="Arial Narrow" w:hAnsi="Arial Narrow"/>
          <w:sz w:val="18"/>
          <w:szCs w:val="18"/>
        </w:rPr>
        <w:t>Demarcación Política</w:t>
      </w:r>
      <w:r w:rsidRPr="007014A4">
        <w:rPr>
          <w:rFonts w:ascii="Arial Narrow" w:hAnsi="Arial Narrow"/>
          <w:sz w:val="18"/>
          <w:szCs w:val="18"/>
        </w:rPr>
        <w:t xml:space="preserve"> Álvaro Obregón, </w:t>
      </w:r>
      <w:r>
        <w:rPr>
          <w:rFonts w:ascii="Arial Narrow" w:hAnsi="Arial Narrow"/>
          <w:sz w:val="18"/>
          <w:szCs w:val="18"/>
        </w:rPr>
        <w:t>Demarcación Política</w:t>
      </w:r>
      <w:r w:rsidRPr="007014A4">
        <w:rPr>
          <w:rFonts w:ascii="Arial Narrow" w:hAnsi="Arial Narrow"/>
          <w:sz w:val="18"/>
          <w:szCs w:val="18"/>
        </w:rPr>
        <w:t xml:space="preserve"> Azcapotzalco, </w:t>
      </w:r>
      <w:r>
        <w:rPr>
          <w:rFonts w:ascii="Arial Narrow" w:hAnsi="Arial Narrow"/>
          <w:sz w:val="18"/>
          <w:szCs w:val="18"/>
        </w:rPr>
        <w:t>Demarcación Política</w:t>
      </w:r>
      <w:r w:rsidRPr="007014A4">
        <w:rPr>
          <w:rFonts w:ascii="Arial Narrow" w:hAnsi="Arial Narrow"/>
          <w:sz w:val="18"/>
          <w:szCs w:val="18"/>
        </w:rPr>
        <w:t xml:space="preserve"> Cuajimalpa de Morelos, </w:t>
      </w:r>
      <w:r>
        <w:rPr>
          <w:rFonts w:ascii="Arial Narrow" w:hAnsi="Arial Narrow"/>
          <w:sz w:val="18"/>
          <w:szCs w:val="18"/>
        </w:rPr>
        <w:t>Demarcación Política</w:t>
      </w:r>
      <w:r w:rsidRPr="007014A4">
        <w:rPr>
          <w:rFonts w:ascii="Arial Narrow" w:hAnsi="Arial Narrow"/>
          <w:sz w:val="18"/>
          <w:szCs w:val="18"/>
        </w:rPr>
        <w:t xml:space="preserve"> Cuauhtémoc, </w:t>
      </w:r>
      <w:r>
        <w:rPr>
          <w:rFonts w:ascii="Arial Narrow" w:hAnsi="Arial Narrow"/>
          <w:sz w:val="18"/>
          <w:szCs w:val="18"/>
        </w:rPr>
        <w:t>Demarcación Política</w:t>
      </w:r>
      <w:r w:rsidRPr="007014A4">
        <w:rPr>
          <w:rFonts w:ascii="Arial Narrow" w:hAnsi="Arial Narrow"/>
          <w:sz w:val="18"/>
          <w:szCs w:val="18"/>
        </w:rPr>
        <w:t xml:space="preserve"> Gustavo A. Madero, </w:t>
      </w:r>
      <w:r>
        <w:rPr>
          <w:rFonts w:ascii="Arial Narrow" w:hAnsi="Arial Narrow"/>
          <w:sz w:val="18"/>
          <w:szCs w:val="18"/>
        </w:rPr>
        <w:t>Demarcación Política</w:t>
      </w:r>
      <w:r w:rsidRPr="007014A4">
        <w:rPr>
          <w:rFonts w:ascii="Arial Narrow" w:hAnsi="Arial Narrow"/>
          <w:sz w:val="18"/>
          <w:szCs w:val="18"/>
        </w:rPr>
        <w:t xml:space="preserve"> Iztacalco, </w:t>
      </w:r>
      <w:r>
        <w:rPr>
          <w:rFonts w:ascii="Arial Narrow" w:hAnsi="Arial Narrow"/>
          <w:sz w:val="18"/>
          <w:szCs w:val="18"/>
        </w:rPr>
        <w:t>Demarcación Política</w:t>
      </w:r>
      <w:r w:rsidRPr="007014A4">
        <w:rPr>
          <w:rFonts w:ascii="Arial Narrow" w:hAnsi="Arial Narrow"/>
          <w:sz w:val="18"/>
          <w:szCs w:val="18"/>
        </w:rPr>
        <w:t xml:space="preserve"> Iztapalapa, </w:t>
      </w:r>
      <w:r>
        <w:rPr>
          <w:rFonts w:ascii="Arial Narrow" w:hAnsi="Arial Narrow"/>
          <w:sz w:val="18"/>
          <w:szCs w:val="18"/>
        </w:rPr>
        <w:t>Demarcación Política</w:t>
      </w:r>
      <w:r w:rsidRPr="007014A4">
        <w:rPr>
          <w:rFonts w:ascii="Arial Narrow" w:hAnsi="Arial Narrow"/>
          <w:sz w:val="18"/>
          <w:szCs w:val="18"/>
        </w:rPr>
        <w:t xml:space="preserve"> Miguel Hidalgo, </w:t>
      </w:r>
      <w:r>
        <w:rPr>
          <w:rFonts w:ascii="Arial Narrow" w:hAnsi="Arial Narrow"/>
          <w:sz w:val="18"/>
          <w:szCs w:val="18"/>
        </w:rPr>
        <w:t>Demarcación Política</w:t>
      </w:r>
      <w:r w:rsidRPr="007014A4">
        <w:rPr>
          <w:rFonts w:ascii="Arial Narrow" w:hAnsi="Arial Narrow"/>
          <w:sz w:val="18"/>
          <w:szCs w:val="18"/>
        </w:rPr>
        <w:t xml:space="preserve"> Milpa Alta, </w:t>
      </w:r>
      <w:r>
        <w:rPr>
          <w:rFonts w:ascii="Arial Narrow" w:hAnsi="Arial Narrow"/>
          <w:sz w:val="18"/>
          <w:szCs w:val="18"/>
        </w:rPr>
        <w:t>Demarcación Política</w:t>
      </w:r>
      <w:r w:rsidRPr="007014A4">
        <w:rPr>
          <w:rFonts w:ascii="Arial Narrow" w:hAnsi="Arial Narrow"/>
          <w:sz w:val="18"/>
          <w:szCs w:val="18"/>
        </w:rPr>
        <w:t xml:space="preserve"> Tláhuac, </w:t>
      </w:r>
      <w:r>
        <w:rPr>
          <w:rFonts w:ascii="Arial Narrow" w:hAnsi="Arial Narrow"/>
          <w:sz w:val="18"/>
          <w:szCs w:val="18"/>
        </w:rPr>
        <w:t>Demarcación Política</w:t>
      </w:r>
      <w:r w:rsidRPr="007014A4">
        <w:rPr>
          <w:rFonts w:ascii="Arial Narrow" w:hAnsi="Arial Narrow"/>
          <w:sz w:val="18"/>
          <w:szCs w:val="18"/>
        </w:rPr>
        <w:t xml:space="preserve"> Coyoacán y </w:t>
      </w:r>
      <w:r>
        <w:rPr>
          <w:rFonts w:ascii="Arial Narrow" w:hAnsi="Arial Narrow"/>
          <w:sz w:val="18"/>
          <w:szCs w:val="18"/>
        </w:rPr>
        <w:t>Demarcación Política</w:t>
      </w:r>
      <w:r w:rsidRPr="007014A4">
        <w:rPr>
          <w:rFonts w:ascii="Arial Narrow" w:hAnsi="Arial Narrow"/>
          <w:sz w:val="18"/>
          <w:szCs w:val="18"/>
        </w:rPr>
        <w:t xml:space="preserve"> Tlalpan.</w:t>
      </w:r>
    </w:p>
  </w:footnote>
  <w:footnote w:id="52">
    <w:p w:rsidR="007C0694" w:rsidRPr="007014A4" w:rsidRDefault="007C0694" w:rsidP="007014A4">
      <w:pPr>
        <w:pStyle w:val="Textonotapie"/>
        <w:jc w:val="both"/>
        <w:rPr>
          <w:rFonts w:ascii="Arial Narrow" w:hAnsi="Arial Narrow"/>
          <w:sz w:val="18"/>
          <w:szCs w:val="18"/>
        </w:rPr>
      </w:pPr>
      <w:r w:rsidRPr="007014A4">
        <w:rPr>
          <w:rStyle w:val="Refdenotaalpie"/>
          <w:rFonts w:ascii="Arial Narrow" w:hAnsi="Arial Narrow"/>
          <w:sz w:val="18"/>
          <w:szCs w:val="18"/>
        </w:rPr>
        <w:footnoteRef/>
      </w:r>
      <w:r w:rsidRPr="007014A4">
        <w:rPr>
          <w:rFonts w:ascii="Arial Narrow" w:hAnsi="Arial Narrow"/>
          <w:sz w:val="18"/>
          <w:szCs w:val="18"/>
        </w:rPr>
        <w:t xml:space="preserve"> </w:t>
      </w:r>
      <w:r>
        <w:rPr>
          <w:rFonts w:ascii="Arial Narrow" w:hAnsi="Arial Narrow"/>
          <w:sz w:val="18"/>
          <w:szCs w:val="18"/>
        </w:rPr>
        <w:t>Demarcación Política</w:t>
      </w:r>
      <w:r w:rsidRPr="007014A4">
        <w:rPr>
          <w:rFonts w:ascii="Arial Narrow" w:hAnsi="Arial Narrow"/>
          <w:sz w:val="18"/>
          <w:szCs w:val="18"/>
        </w:rPr>
        <w:t xml:space="preserve"> Álvaro Obregón, </w:t>
      </w:r>
      <w:r>
        <w:rPr>
          <w:rFonts w:ascii="Arial Narrow" w:hAnsi="Arial Narrow"/>
          <w:sz w:val="18"/>
          <w:szCs w:val="18"/>
        </w:rPr>
        <w:t>Demarcación Política</w:t>
      </w:r>
      <w:r w:rsidRPr="007014A4">
        <w:rPr>
          <w:rFonts w:ascii="Arial Narrow" w:hAnsi="Arial Narrow"/>
          <w:sz w:val="18"/>
          <w:szCs w:val="18"/>
        </w:rPr>
        <w:t xml:space="preserve"> Cuajimalpa de Morelos, </w:t>
      </w:r>
      <w:r>
        <w:rPr>
          <w:rFonts w:ascii="Arial Narrow" w:hAnsi="Arial Narrow"/>
          <w:sz w:val="18"/>
          <w:szCs w:val="18"/>
        </w:rPr>
        <w:t>Demarcación Política</w:t>
      </w:r>
      <w:r w:rsidRPr="007014A4">
        <w:rPr>
          <w:rFonts w:ascii="Arial Narrow" w:hAnsi="Arial Narrow"/>
          <w:sz w:val="18"/>
          <w:szCs w:val="18"/>
        </w:rPr>
        <w:t xml:space="preserve"> Cuauhtémoc, </w:t>
      </w:r>
      <w:r>
        <w:rPr>
          <w:rFonts w:ascii="Arial Narrow" w:hAnsi="Arial Narrow"/>
          <w:sz w:val="18"/>
          <w:szCs w:val="18"/>
        </w:rPr>
        <w:t>Demarcación Política</w:t>
      </w:r>
      <w:r w:rsidRPr="007014A4">
        <w:rPr>
          <w:rFonts w:ascii="Arial Narrow" w:hAnsi="Arial Narrow"/>
          <w:sz w:val="18"/>
          <w:szCs w:val="18"/>
        </w:rPr>
        <w:t xml:space="preserve"> Gustavo A. Madero y </w:t>
      </w:r>
      <w:r>
        <w:rPr>
          <w:rFonts w:ascii="Arial Narrow" w:hAnsi="Arial Narrow"/>
          <w:sz w:val="18"/>
          <w:szCs w:val="18"/>
        </w:rPr>
        <w:t>Demarcación Política</w:t>
      </w:r>
      <w:r w:rsidRPr="007014A4">
        <w:rPr>
          <w:rFonts w:ascii="Arial Narrow" w:hAnsi="Arial Narrow"/>
          <w:sz w:val="18"/>
          <w:szCs w:val="18"/>
        </w:rPr>
        <w:t xml:space="preserve"> Milpa Alta.</w:t>
      </w:r>
    </w:p>
  </w:footnote>
  <w:footnote w:id="53">
    <w:p w:rsidR="007C0694" w:rsidRPr="007014A4" w:rsidRDefault="007C0694" w:rsidP="007014A4">
      <w:pPr>
        <w:pStyle w:val="Textonotapie"/>
        <w:jc w:val="both"/>
        <w:rPr>
          <w:rFonts w:ascii="Arial Narrow" w:hAnsi="Arial Narrow"/>
          <w:sz w:val="18"/>
          <w:szCs w:val="18"/>
        </w:rPr>
      </w:pPr>
      <w:r w:rsidRPr="007014A4">
        <w:rPr>
          <w:rStyle w:val="Refdenotaalpie"/>
          <w:rFonts w:ascii="Arial Narrow" w:hAnsi="Arial Narrow"/>
          <w:sz w:val="18"/>
          <w:szCs w:val="18"/>
        </w:rPr>
        <w:footnoteRef/>
      </w:r>
      <w:r w:rsidRPr="007014A4">
        <w:rPr>
          <w:rFonts w:ascii="Arial Narrow" w:hAnsi="Arial Narrow"/>
          <w:sz w:val="18"/>
          <w:szCs w:val="18"/>
        </w:rPr>
        <w:t xml:space="preserve"> </w:t>
      </w:r>
      <w:r>
        <w:rPr>
          <w:rFonts w:ascii="Arial Narrow" w:hAnsi="Arial Narrow"/>
          <w:sz w:val="18"/>
          <w:szCs w:val="18"/>
        </w:rPr>
        <w:t>Demarcación Política</w:t>
      </w:r>
      <w:r w:rsidRPr="007014A4">
        <w:rPr>
          <w:rFonts w:ascii="Arial Narrow" w:hAnsi="Arial Narrow"/>
          <w:sz w:val="18"/>
          <w:szCs w:val="18"/>
        </w:rPr>
        <w:t xml:space="preserve"> Tláhuac, </w:t>
      </w:r>
      <w:r>
        <w:rPr>
          <w:rFonts w:ascii="Arial Narrow" w:hAnsi="Arial Narrow"/>
          <w:sz w:val="18"/>
          <w:szCs w:val="18"/>
        </w:rPr>
        <w:t>Demarcación Política</w:t>
      </w:r>
      <w:r w:rsidRPr="007014A4">
        <w:rPr>
          <w:rFonts w:ascii="Arial Narrow" w:hAnsi="Arial Narrow"/>
          <w:sz w:val="18"/>
          <w:szCs w:val="18"/>
        </w:rPr>
        <w:t xml:space="preserve"> Tlalpan y </w:t>
      </w:r>
      <w:r>
        <w:rPr>
          <w:rFonts w:ascii="Arial Narrow" w:hAnsi="Arial Narrow"/>
          <w:sz w:val="18"/>
          <w:szCs w:val="18"/>
        </w:rPr>
        <w:t>Demarcación Política</w:t>
      </w:r>
      <w:r w:rsidRPr="007014A4">
        <w:rPr>
          <w:rFonts w:ascii="Arial Narrow" w:hAnsi="Arial Narrow"/>
          <w:sz w:val="18"/>
          <w:szCs w:val="18"/>
        </w:rPr>
        <w:t xml:space="preserve"> Venustiano Carranza. </w:t>
      </w:r>
    </w:p>
  </w:footnote>
  <w:footnote w:id="54">
    <w:p w:rsidR="007C0694" w:rsidRPr="007014A4" w:rsidRDefault="007C0694" w:rsidP="007014A4">
      <w:pPr>
        <w:pStyle w:val="Textonotapie"/>
        <w:jc w:val="both"/>
        <w:rPr>
          <w:rFonts w:ascii="Arial Narrow" w:hAnsi="Arial Narrow"/>
          <w:sz w:val="18"/>
          <w:szCs w:val="18"/>
        </w:rPr>
      </w:pPr>
      <w:r w:rsidRPr="007014A4">
        <w:rPr>
          <w:rStyle w:val="Refdenotaalpie"/>
          <w:rFonts w:ascii="Arial Narrow" w:hAnsi="Arial Narrow"/>
          <w:sz w:val="18"/>
          <w:szCs w:val="18"/>
        </w:rPr>
        <w:footnoteRef/>
      </w:r>
      <w:r w:rsidRPr="007014A4">
        <w:rPr>
          <w:rFonts w:ascii="Arial Narrow" w:hAnsi="Arial Narrow"/>
          <w:sz w:val="18"/>
          <w:szCs w:val="18"/>
        </w:rPr>
        <w:t xml:space="preserve"> </w:t>
      </w:r>
      <w:r>
        <w:rPr>
          <w:rFonts w:ascii="Arial Narrow" w:hAnsi="Arial Narrow"/>
          <w:sz w:val="18"/>
          <w:szCs w:val="18"/>
        </w:rPr>
        <w:t>Demarcación Política</w:t>
      </w:r>
      <w:r w:rsidRPr="007014A4">
        <w:rPr>
          <w:rFonts w:ascii="Arial Narrow" w:hAnsi="Arial Narrow"/>
          <w:sz w:val="18"/>
          <w:szCs w:val="18"/>
        </w:rPr>
        <w:t xml:space="preserve"> Benito Juárez, </w:t>
      </w:r>
      <w:r>
        <w:rPr>
          <w:rFonts w:ascii="Arial Narrow" w:hAnsi="Arial Narrow"/>
          <w:sz w:val="18"/>
          <w:szCs w:val="18"/>
        </w:rPr>
        <w:t>Demarcación Política</w:t>
      </w:r>
      <w:r w:rsidRPr="007014A4">
        <w:rPr>
          <w:rFonts w:ascii="Arial Narrow" w:hAnsi="Arial Narrow"/>
          <w:sz w:val="18"/>
          <w:szCs w:val="18"/>
        </w:rPr>
        <w:t xml:space="preserve"> Azcapotzalco, </w:t>
      </w:r>
      <w:r>
        <w:rPr>
          <w:rFonts w:ascii="Arial Narrow" w:hAnsi="Arial Narrow"/>
          <w:sz w:val="18"/>
          <w:szCs w:val="18"/>
        </w:rPr>
        <w:t>Demarcación Política</w:t>
      </w:r>
      <w:r w:rsidRPr="007014A4">
        <w:rPr>
          <w:rFonts w:ascii="Arial Narrow" w:hAnsi="Arial Narrow"/>
          <w:sz w:val="18"/>
          <w:szCs w:val="18"/>
        </w:rPr>
        <w:t xml:space="preserve"> Coyoacán, </w:t>
      </w:r>
      <w:r>
        <w:rPr>
          <w:rFonts w:ascii="Arial Narrow" w:hAnsi="Arial Narrow"/>
          <w:sz w:val="18"/>
          <w:szCs w:val="18"/>
        </w:rPr>
        <w:t>Demarcación Política</w:t>
      </w:r>
      <w:r w:rsidRPr="007014A4">
        <w:rPr>
          <w:rFonts w:ascii="Arial Narrow" w:hAnsi="Arial Narrow"/>
          <w:sz w:val="18"/>
          <w:szCs w:val="18"/>
        </w:rPr>
        <w:t xml:space="preserve"> La Magdalena Contreras, </w:t>
      </w:r>
      <w:r>
        <w:rPr>
          <w:rFonts w:ascii="Arial Narrow" w:hAnsi="Arial Narrow"/>
          <w:sz w:val="18"/>
          <w:szCs w:val="18"/>
        </w:rPr>
        <w:t>Demarcación Política</w:t>
      </w:r>
      <w:r w:rsidRPr="007014A4">
        <w:rPr>
          <w:rFonts w:ascii="Arial Narrow" w:hAnsi="Arial Narrow"/>
          <w:sz w:val="18"/>
          <w:szCs w:val="18"/>
        </w:rPr>
        <w:t xml:space="preserve"> Iztacalco, </w:t>
      </w:r>
      <w:r>
        <w:rPr>
          <w:rFonts w:ascii="Arial Narrow" w:hAnsi="Arial Narrow"/>
          <w:sz w:val="18"/>
          <w:szCs w:val="18"/>
        </w:rPr>
        <w:t>Demarcación Política</w:t>
      </w:r>
      <w:r w:rsidRPr="007014A4">
        <w:rPr>
          <w:rFonts w:ascii="Arial Narrow" w:hAnsi="Arial Narrow"/>
          <w:sz w:val="18"/>
          <w:szCs w:val="18"/>
        </w:rPr>
        <w:t xml:space="preserve"> Miguel Hidalgo y </w:t>
      </w:r>
      <w:r>
        <w:rPr>
          <w:rFonts w:ascii="Arial Narrow" w:hAnsi="Arial Narrow"/>
          <w:sz w:val="18"/>
          <w:szCs w:val="18"/>
        </w:rPr>
        <w:t>Demarcación Política</w:t>
      </w:r>
      <w:r w:rsidRPr="007014A4">
        <w:rPr>
          <w:rFonts w:ascii="Arial Narrow" w:hAnsi="Arial Narrow"/>
          <w:sz w:val="18"/>
          <w:szCs w:val="18"/>
        </w:rPr>
        <w:t xml:space="preserve"> Iztapalapa </w:t>
      </w:r>
    </w:p>
  </w:footnote>
  <w:footnote w:id="55">
    <w:p w:rsidR="007C0694" w:rsidRPr="007014A4" w:rsidRDefault="007C0694" w:rsidP="007014A4">
      <w:pPr>
        <w:pStyle w:val="Textonotapie"/>
        <w:jc w:val="both"/>
        <w:rPr>
          <w:rFonts w:ascii="Arial Narrow" w:hAnsi="Arial Narrow"/>
          <w:sz w:val="18"/>
          <w:szCs w:val="18"/>
        </w:rPr>
      </w:pPr>
      <w:r w:rsidRPr="007014A4">
        <w:rPr>
          <w:rStyle w:val="Refdenotaalpie"/>
          <w:rFonts w:ascii="Arial Narrow" w:hAnsi="Arial Narrow"/>
          <w:sz w:val="18"/>
          <w:szCs w:val="18"/>
        </w:rPr>
        <w:footnoteRef/>
      </w:r>
      <w:r w:rsidRPr="007014A4">
        <w:rPr>
          <w:rFonts w:ascii="Arial Narrow" w:hAnsi="Arial Narrow"/>
          <w:sz w:val="18"/>
          <w:szCs w:val="18"/>
        </w:rPr>
        <w:t xml:space="preserve"> Comisión de Derechos Humanos del Distrito Federal, Junta Local de Conciliación y Arbitraje del Distrito Federal, Tribunal Electoral de la Ciudad de México, Instituto de Transparencia, Acceso a la Información Pública, Protección de Datos Personales y Rendición de Cuentas de la Ciudad de México e Instituto Electoral de la Ciudad de México. </w:t>
      </w:r>
    </w:p>
  </w:footnote>
  <w:footnote w:id="56">
    <w:p w:rsidR="007C0694" w:rsidRPr="007014A4" w:rsidRDefault="007C0694" w:rsidP="007014A4">
      <w:pPr>
        <w:pStyle w:val="Textonotapie"/>
        <w:jc w:val="both"/>
        <w:rPr>
          <w:rFonts w:ascii="Arial Narrow" w:hAnsi="Arial Narrow"/>
          <w:sz w:val="18"/>
          <w:szCs w:val="18"/>
        </w:rPr>
      </w:pPr>
      <w:r w:rsidRPr="007014A4">
        <w:rPr>
          <w:rStyle w:val="Refdenotaalpie"/>
          <w:rFonts w:ascii="Arial Narrow" w:hAnsi="Arial Narrow"/>
          <w:sz w:val="18"/>
          <w:szCs w:val="18"/>
        </w:rPr>
        <w:footnoteRef/>
      </w:r>
      <w:r w:rsidRPr="007014A4">
        <w:rPr>
          <w:rFonts w:ascii="Arial Narrow" w:hAnsi="Arial Narrow"/>
          <w:sz w:val="18"/>
          <w:szCs w:val="18"/>
        </w:rPr>
        <w:t xml:space="preserve"> Comisión de Derechos Humanos del Distrito Federal, Junta Local de Conciliación y Arbitraje del Distrito Federal, Tribunal de Justicia Administrativa de la Ciudad de México, Tribunal Electoral de la Ciudad de México, Instituto de Transparencia, Acceso a la Información Pública, Protección de Datos Personales y Rendición de Cuentas de la Ciudad de México e Instituto Electoral de la Ciudad de México.</w:t>
      </w:r>
    </w:p>
  </w:footnote>
  <w:footnote w:id="57">
    <w:p w:rsidR="007C0694" w:rsidRPr="007014A4" w:rsidRDefault="007C0694" w:rsidP="007014A4">
      <w:pPr>
        <w:pStyle w:val="Textonotapie"/>
        <w:jc w:val="both"/>
        <w:rPr>
          <w:rFonts w:ascii="Arial Narrow" w:hAnsi="Arial Narrow"/>
          <w:sz w:val="18"/>
          <w:szCs w:val="18"/>
        </w:rPr>
      </w:pPr>
      <w:r w:rsidRPr="007014A4">
        <w:rPr>
          <w:rStyle w:val="Refdenotaalpie"/>
          <w:rFonts w:ascii="Arial Narrow" w:hAnsi="Arial Narrow"/>
          <w:sz w:val="18"/>
          <w:szCs w:val="18"/>
        </w:rPr>
        <w:footnoteRef/>
      </w:r>
      <w:r w:rsidRPr="007014A4">
        <w:rPr>
          <w:rFonts w:ascii="Arial Narrow" w:hAnsi="Arial Narrow"/>
          <w:sz w:val="18"/>
          <w:szCs w:val="18"/>
        </w:rPr>
        <w:t xml:space="preserve"> Comisión de Derechos Humanos del Distrito Federal, Tribunal de Justicia Administrativa de la Ciudad de México, Instituto de Transparencia, Acceso a la Información Pública, Protección de Datos Personales y Rendición de Cuentas de la Ciudad de México e Instituto Electoral de la Ciudad de México. </w:t>
      </w:r>
    </w:p>
  </w:footnote>
  <w:footnote w:id="58">
    <w:p w:rsidR="007C0694" w:rsidRPr="007014A4" w:rsidRDefault="007C0694" w:rsidP="007014A4">
      <w:pPr>
        <w:pStyle w:val="Textonotapie"/>
        <w:jc w:val="both"/>
        <w:rPr>
          <w:rFonts w:ascii="Arial Narrow" w:hAnsi="Arial Narrow"/>
          <w:sz w:val="18"/>
          <w:szCs w:val="18"/>
        </w:rPr>
      </w:pPr>
      <w:r w:rsidRPr="007014A4">
        <w:rPr>
          <w:rStyle w:val="Refdenotaalpie"/>
          <w:rFonts w:ascii="Arial Narrow" w:hAnsi="Arial Narrow"/>
          <w:sz w:val="18"/>
          <w:szCs w:val="18"/>
        </w:rPr>
        <w:footnoteRef/>
      </w:r>
      <w:r w:rsidRPr="007014A4">
        <w:rPr>
          <w:rFonts w:ascii="Arial Narrow" w:hAnsi="Arial Narrow"/>
          <w:sz w:val="18"/>
          <w:szCs w:val="18"/>
        </w:rPr>
        <w:t xml:space="preserve"> Tribunal Electoral de la Ciudad de México y Universidad Autónoma de la Ciudad de México.</w:t>
      </w:r>
    </w:p>
  </w:footnote>
  <w:footnote w:id="59">
    <w:p w:rsidR="007C0694" w:rsidRPr="007014A4" w:rsidRDefault="007C0694" w:rsidP="007014A4">
      <w:pPr>
        <w:pStyle w:val="Textonotapie"/>
        <w:jc w:val="both"/>
        <w:rPr>
          <w:rFonts w:ascii="Arial Narrow" w:hAnsi="Arial Narrow"/>
          <w:sz w:val="18"/>
          <w:szCs w:val="18"/>
        </w:rPr>
      </w:pPr>
      <w:r w:rsidRPr="007014A4">
        <w:rPr>
          <w:rStyle w:val="Refdenotaalpie"/>
          <w:rFonts w:ascii="Arial Narrow" w:hAnsi="Arial Narrow"/>
          <w:sz w:val="18"/>
          <w:szCs w:val="18"/>
        </w:rPr>
        <w:footnoteRef/>
      </w:r>
      <w:r w:rsidRPr="007014A4">
        <w:rPr>
          <w:rFonts w:ascii="Arial Narrow" w:hAnsi="Arial Narrow"/>
          <w:sz w:val="18"/>
          <w:szCs w:val="18"/>
        </w:rPr>
        <w:t xml:space="preserve"> Junta Local de Conciliación y Arbitraje del Distrito Federal, Tribunal de Justicia Administrativa de la Ciudad de México, Tribunal Electoral de la Ciudad de México, Instituto de Transparencia, Acceso a la Información Pública, Protección de Datos Personales y Rendición de Cuentas de la Ciudad de México e Instituto Electoral de la Ciudad de México. </w:t>
      </w:r>
    </w:p>
  </w:footnote>
  <w:footnote w:id="60">
    <w:p w:rsidR="007C0694" w:rsidRPr="007014A4" w:rsidRDefault="007C0694" w:rsidP="007014A4">
      <w:pPr>
        <w:pStyle w:val="Textonotapie"/>
        <w:contextualSpacing/>
        <w:jc w:val="both"/>
        <w:rPr>
          <w:rFonts w:ascii="Arial Narrow" w:hAnsi="Arial Narrow" w:cs="Arial"/>
          <w:sz w:val="18"/>
          <w:szCs w:val="18"/>
        </w:rPr>
      </w:pPr>
      <w:r w:rsidRPr="007014A4">
        <w:rPr>
          <w:rStyle w:val="Refdenotaalpie"/>
          <w:rFonts w:ascii="Arial Narrow" w:hAnsi="Arial Narrow"/>
          <w:sz w:val="18"/>
          <w:szCs w:val="18"/>
        </w:rPr>
        <w:footnoteRef/>
      </w:r>
      <w:r w:rsidRPr="007014A4">
        <w:rPr>
          <w:rFonts w:ascii="Arial Narrow" w:hAnsi="Arial Narrow"/>
          <w:sz w:val="18"/>
          <w:szCs w:val="18"/>
        </w:rPr>
        <w:t xml:space="preserve"> </w:t>
      </w:r>
      <w:r w:rsidRPr="007014A4">
        <w:rPr>
          <w:rFonts w:ascii="Arial Narrow" w:hAnsi="Arial Narrow" w:cs="Arial"/>
          <w:sz w:val="18"/>
          <w:szCs w:val="18"/>
        </w:rPr>
        <w:t>Partido de la Revolución Democrática en la Ciudad de México,</w:t>
      </w:r>
      <w:r w:rsidRPr="009C6D91">
        <w:rPr>
          <w:rFonts w:ascii="Arial Narrow" w:hAnsi="Arial Narrow" w:cs="Arial"/>
          <w:sz w:val="18"/>
          <w:szCs w:val="18"/>
        </w:rPr>
        <w:t xml:space="preserve"> Partido Verde Ecologista de México en la Ciudad de México</w:t>
      </w:r>
      <w:r>
        <w:rPr>
          <w:rFonts w:ascii="Arial Narrow" w:hAnsi="Arial Narrow" w:cs="Arial"/>
          <w:sz w:val="18"/>
          <w:szCs w:val="18"/>
        </w:rPr>
        <w:t>,</w:t>
      </w:r>
      <w:r w:rsidRPr="007014A4">
        <w:rPr>
          <w:rFonts w:ascii="Arial Narrow" w:hAnsi="Arial Narrow" w:cs="Arial"/>
          <w:sz w:val="18"/>
          <w:szCs w:val="18"/>
        </w:rPr>
        <w:t xml:space="preserve"> Partido Humanista en la Ciudad de México, Partido del Trabajo en la Ciudad de México, Partido Acción Nacional en la Ciudad de México, Encuentro Social en la Ciudad de México</w:t>
      </w:r>
    </w:p>
    <w:p w:rsidR="007C0694" w:rsidRPr="007014A4" w:rsidRDefault="007C0694" w:rsidP="007014A4">
      <w:pPr>
        <w:pStyle w:val="Textonotapie"/>
        <w:contextualSpacing/>
        <w:jc w:val="both"/>
        <w:rPr>
          <w:rFonts w:ascii="Arial Narrow" w:hAnsi="Arial Narrow"/>
          <w:sz w:val="18"/>
          <w:szCs w:val="18"/>
        </w:rPr>
      </w:pPr>
      <w:r w:rsidRPr="007014A4">
        <w:rPr>
          <w:rFonts w:ascii="Arial Narrow" w:hAnsi="Arial Narrow" w:cs="Arial"/>
          <w:sz w:val="18"/>
          <w:szCs w:val="18"/>
        </w:rPr>
        <w:t>MORENA en la Ciudad de México, Nueva Alianza en la Ciudad de México.</w:t>
      </w:r>
    </w:p>
  </w:footnote>
  <w:footnote w:id="61">
    <w:p w:rsidR="007C0694" w:rsidRPr="007014A4" w:rsidRDefault="007C0694" w:rsidP="007014A4">
      <w:pPr>
        <w:pStyle w:val="Textonotapie"/>
        <w:contextualSpacing/>
        <w:jc w:val="both"/>
        <w:rPr>
          <w:rFonts w:ascii="Arial Narrow" w:hAnsi="Arial Narrow"/>
          <w:sz w:val="18"/>
          <w:szCs w:val="18"/>
        </w:rPr>
      </w:pPr>
      <w:r w:rsidRPr="007014A4">
        <w:rPr>
          <w:rStyle w:val="Refdenotaalpie"/>
          <w:rFonts w:ascii="Arial Narrow" w:hAnsi="Arial Narrow"/>
          <w:sz w:val="18"/>
          <w:szCs w:val="18"/>
        </w:rPr>
        <w:footnoteRef/>
      </w:r>
      <w:r w:rsidRPr="007014A4">
        <w:rPr>
          <w:rFonts w:ascii="Arial Narrow" w:hAnsi="Arial Narrow"/>
          <w:sz w:val="18"/>
          <w:szCs w:val="18"/>
        </w:rPr>
        <w:t xml:space="preserve"> </w:t>
      </w:r>
      <w:r w:rsidRPr="007014A4">
        <w:rPr>
          <w:rFonts w:ascii="Arial Narrow" w:hAnsi="Arial Narrow" w:cs="Arial"/>
          <w:sz w:val="18"/>
          <w:szCs w:val="18"/>
        </w:rPr>
        <w:t>Movimiento Ciudadano en la Ciudad de México, Partido Revolucionario Institucional en la Ciudad de México</w:t>
      </w:r>
    </w:p>
  </w:footnote>
  <w:footnote w:id="62">
    <w:p w:rsidR="007C0694" w:rsidRPr="007014A4" w:rsidRDefault="007C0694" w:rsidP="007014A4">
      <w:pPr>
        <w:pStyle w:val="Textonotapie"/>
        <w:jc w:val="both"/>
        <w:rPr>
          <w:rFonts w:ascii="Arial Narrow" w:hAnsi="Arial Narrow"/>
          <w:sz w:val="18"/>
          <w:szCs w:val="18"/>
        </w:rPr>
      </w:pPr>
      <w:r w:rsidRPr="007014A4">
        <w:rPr>
          <w:rStyle w:val="Refdenotaalpie"/>
          <w:rFonts w:ascii="Arial Narrow" w:hAnsi="Arial Narrow"/>
          <w:sz w:val="18"/>
          <w:szCs w:val="18"/>
        </w:rPr>
        <w:footnoteRef/>
      </w:r>
      <w:r w:rsidRPr="007014A4">
        <w:rPr>
          <w:rFonts w:ascii="Arial Narrow" w:hAnsi="Arial Narrow"/>
          <w:sz w:val="18"/>
          <w:szCs w:val="18"/>
        </w:rPr>
        <w:t xml:space="preserve"> Encuentro Social en la Ciudad de México, MORENA en la Ciudad de México, Nueva Alianza en la Ciudad de México, Partido Acción Nacional en la Ciudad de México y Partido del Trabajo en la Ciudad de México.</w:t>
      </w:r>
    </w:p>
  </w:footnote>
  <w:footnote w:id="63">
    <w:p w:rsidR="007C0694" w:rsidRPr="007014A4" w:rsidRDefault="007C0694" w:rsidP="007014A4">
      <w:pPr>
        <w:pStyle w:val="Textonotapie"/>
        <w:jc w:val="both"/>
        <w:rPr>
          <w:rFonts w:ascii="Arial Narrow" w:hAnsi="Arial Narrow"/>
          <w:sz w:val="18"/>
          <w:szCs w:val="18"/>
        </w:rPr>
      </w:pPr>
      <w:r w:rsidRPr="007014A4">
        <w:rPr>
          <w:rStyle w:val="Refdenotaalpie"/>
          <w:rFonts w:ascii="Arial Narrow" w:hAnsi="Arial Narrow"/>
          <w:sz w:val="18"/>
          <w:szCs w:val="18"/>
        </w:rPr>
        <w:footnoteRef/>
      </w:r>
      <w:r w:rsidRPr="007014A4">
        <w:rPr>
          <w:rFonts w:ascii="Arial Narrow" w:hAnsi="Arial Narrow"/>
          <w:sz w:val="18"/>
          <w:szCs w:val="18"/>
        </w:rPr>
        <w:t xml:space="preserve"> MORENA en la Ciudad de México, Movimiento Ciudadano en la Ciudad de México, Nueva Alianza en la Ciudad de México, Partido Acción Nacional en la Ciudad de México, Partido de la Revolución Democrática en la Ciudad de México, Partido Humanista en la Ciudad de México y Partido Revolucionario Institucional en la Ciudad de México.</w:t>
      </w:r>
    </w:p>
  </w:footnote>
  <w:footnote w:id="64">
    <w:p w:rsidR="007C0694" w:rsidRPr="007014A4" w:rsidRDefault="007C0694" w:rsidP="007014A4">
      <w:pPr>
        <w:pStyle w:val="Textonotapie"/>
        <w:jc w:val="both"/>
        <w:rPr>
          <w:rFonts w:ascii="Arial Narrow" w:hAnsi="Arial Narrow"/>
          <w:sz w:val="18"/>
          <w:szCs w:val="18"/>
        </w:rPr>
      </w:pPr>
      <w:r w:rsidRPr="007014A4">
        <w:rPr>
          <w:rStyle w:val="Refdenotaalpie"/>
          <w:rFonts w:ascii="Arial Narrow" w:hAnsi="Arial Narrow"/>
          <w:sz w:val="18"/>
          <w:szCs w:val="18"/>
        </w:rPr>
        <w:footnoteRef/>
      </w:r>
      <w:r w:rsidRPr="007014A4">
        <w:rPr>
          <w:rFonts w:ascii="Arial Narrow" w:hAnsi="Arial Narrow"/>
          <w:sz w:val="18"/>
          <w:szCs w:val="18"/>
        </w:rPr>
        <w:t xml:space="preserve"> Encuentro Social en la Ciudad de México y Partido del Trabajo en la Ciudad de México.</w:t>
      </w:r>
    </w:p>
  </w:footnote>
  <w:footnote w:id="65">
    <w:p w:rsidR="007C0694" w:rsidRPr="007014A4" w:rsidRDefault="007C0694" w:rsidP="007014A4">
      <w:pPr>
        <w:pStyle w:val="Textonotapie"/>
        <w:jc w:val="both"/>
        <w:rPr>
          <w:rFonts w:ascii="Arial Narrow" w:hAnsi="Arial Narrow"/>
          <w:sz w:val="18"/>
          <w:szCs w:val="18"/>
        </w:rPr>
      </w:pPr>
      <w:r w:rsidRPr="007014A4">
        <w:rPr>
          <w:rStyle w:val="Refdenotaalpie"/>
          <w:rFonts w:ascii="Arial Narrow" w:hAnsi="Arial Narrow"/>
          <w:sz w:val="18"/>
          <w:szCs w:val="18"/>
        </w:rPr>
        <w:footnoteRef/>
      </w:r>
      <w:r w:rsidRPr="007014A4">
        <w:rPr>
          <w:rFonts w:ascii="Arial Narrow" w:hAnsi="Arial Narrow"/>
          <w:sz w:val="18"/>
          <w:szCs w:val="18"/>
        </w:rPr>
        <w:t xml:space="preserve"> Sindicato de Trabajadores del Poder Judicial del Distrito Federal, Sindicato Nacional de Trabajadores del Sistema de Transporte Colectivo y Sindicato Único de Trabajadores del Gobierno de la Ciudad de México.</w:t>
      </w:r>
    </w:p>
  </w:footnote>
  <w:footnote w:id="66">
    <w:p w:rsidR="007C0694" w:rsidRPr="007014A4" w:rsidRDefault="007C0694" w:rsidP="007014A4">
      <w:pPr>
        <w:pStyle w:val="Textonotapie"/>
        <w:jc w:val="both"/>
        <w:rPr>
          <w:rFonts w:ascii="Arial Narrow" w:hAnsi="Arial Narrow"/>
          <w:sz w:val="18"/>
          <w:szCs w:val="18"/>
        </w:rPr>
      </w:pPr>
      <w:r w:rsidRPr="007014A4">
        <w:rPr>
          <w:rStyle w:val="Refdenotaalpie"/>
          <w:rFonts w:ascii="Arial Narrow" w:hAnsi="Arial Narrow"/>
          <w:sz w:val="18"/>
          <w:szCs w:val="18"/>
        </w:rPr>
        <w:footnoteRef/>
      </w:r>
      <w:r w:rsidRPr="007014A4">
        <w:rPr>
          <w:rFonts w:ascii="Arial Narrow" w:hAnsi="Arial Narrow"/>
          <w:sz w:val="18"/>
          <w:szCs w:val="18"/>
        </w:rPr>
        <w:t xml:space="preserve"> Alianza de Tranviarios de México, Asociación Sindical de Trabajadores del Instituto de Vivienda del Distrito Federal, Asociación Sindical de Trabajadores del Metro, Sindicato Auténtico de Trabajadores de la Asamblea Legislativa del Distrito Federal, Sindicato de Empleados del Servicio de Anales de Jurisprudencia, Sindicato de la Unión de Trabajadores del Instituto de Educación Media Superior del Distrito Federal, Sindicato de Trabajadores de la Asamblea Legislativa del Distrito Federal, Sindicato de Trabajadores de la Auditoría Superior de la Ciudad de México, Sindicato de Trabajadores de Transporte de Pasajeros del Distrito Federal, </w:t>
      </w:r>
    </w:p>
    <w:p w:rsidR="007C0694" w:rsidRPr="007014A4" w:rsidRDefault="007C0694" w:rsidP="007014A4">
      <w:pPr>
        <w:pStyle w:val="Textonotapie"/>
        <w:jc w:val="both"/>
        <w:rPr>
          <w:rFonts w:ascii="Arial Narrow" w:hAnsi="Arial Narrow"/>
          <w:sz w:val="18"/>
          <w:szCs w:val="18"/>
        </w:rPr>
      </w:pPr>
      <w:r w:rsidRPr="007014A4">
        <w:rPr>
          <w:rFonts w:ascii="Arial Narrow" w:hAnsi="Arial Narrow"/>
          <w:sz w:val="18"/>
          <w:szCs w:val="18"/>
        </w:rPr>
        <w:t>Sindicato de Trabajadores del Tribunal de Justicia Administrativa de la Ciudad de México, Sindicato de Trabajadores del Tribunal Superior de Justicia del Distrito Federal, Sindicato del Heroico Cuerpo de Bomberos del Distrito Federal, Sindicato Democrático de los Trabajadores de la Procuraduría Social del Distrito Federal, Sindicato Democrático Independiente de Trabajadores del Sistema de Transporte Colectivo, Sindicato Independiente de Trabajadores del Instituto de Educación Media Superior del Distrito Federal, Sindicato Independiente de Trabajadores Unidos de la Asamblea Legislativa del Distrito Federal, Sindicato Único de Trabajadores de la Universidad Autónoma de la Ciudad de México y Sindicato Único de Trabajadores Democráticos del Sistema de Transporte Colectivo.</w:t>
      </w:r>
    </w:p>
  </w:footnote>
  <w:footnote w:id="67">
    <w:p w:rsidR="007C0694" w:rsidRPr="007014A4" w:rsidRDefault="007C0694" w:rsidP="007014A4">
      <w:pPr>
        <w:pStyle w:val="Textonotapie"/>
        <w:jc w:val="both"/>
        <w:rPr>
          <w:rFonts w:ascii="Arial Narrow" w:hAnsi="Arial Narrow"/>
          <w:sz w:val="18"/>
          <w:szCs w:val="18"/>
        </w:rPr>
      </w:pPr>
      <w:r w:rsidRPr="007014A4">
        <w:rPr>
          <w:rStyle w:val="Refdenotaalpie"/>
          <w:rFonts w:ascii="Arial Narrow" w:hAnsi="Arial Narrow"/>
          <w:sz w:val="18"/>
          <w:szCs w:val="18"/>
        </w:rPr>
        <w:footnoteRef/>
      </w:r>
      <w:r w:rsidRPr="007014A4">
        <w:rPr>
          <w:rFonts w:ascii="Arial Narrow" w:hAnsi="Arial Narrow"/>
          <w:sz w:val="18"/>
          <w:szCs w:val="18"/>
        </w:rPr>
        <w:t xml:space="preserve"> Alianza de Tranviarios de México, Asociación Sindical de Trabajadores del Instituto de Vivienda del Distrito Federal, Asociación Sindical de Trabajadores del Metro, Sindicato Auténtico de Trabajadores de la Asamblea Legislativa del Distrito Federal, Sindicato de Empleados del Servicio de Anales de Jurisprudencia, Sindicato de la Unión de Trabajadores del Instituto de Educación Media Superior del Distrito Federal, Sindicato de Trabajadores de la Asamblea Legislativa del Distrito Federal, Sindicato de Trabajadores de la Auditoría Superior de la Ciudad de México, Sindicato de Trabajadores de Transporte de Pasajeros del Distrito Federal,  Sindicato de Trabajadores del Tribunal Superior de Justicia del Distrito Federal, Sindicato del Heroico Cuerpo de Bomberos del Distrito Federal, Sindicato Democrático de los Trabajadores de la Procuraduría Social del Distrito Federal, Sindicato Independiente de Trabajadores Unidos de la Asamblea Legislativa del Distrito Federal, Sindicato Único de Trabajadores de la Universidad Autónoma de la Ciudad de México y Sindicato Único de Trabajadores Democráticos del Sistema de Transporte Colectivo.</w:t>
      </w:r>
    </w:p>
  </w:footnote>
  <w:footnote w:id="68">
    <w:p w:rsidR="007C0694" w:rsidRPr="007014A4" w:rsidRDefault="007C0694" w:rsidP="007014A4">
      <w:pPr>
        <w:pStyle w:val="Textonotapie"/>
        <w:jc w:val="both"/>
        <w:rPr>
          <w:rFonts w:ascii="Arial Narrow" w:hAnsi="Arial Narrow"/>
          <w:sz w:val="18"/>
          <w:szCs w:val="18"/>
        </w:rPr>
      </w:pPr>
      <w:r w:rsidRPr="007014A4">
        <w:rPr>
          <w:rStyle w:val="Refdenotaalpie"/>
          <w:rFonts w:ascii="Arial Narrow" w:hAnsi="Arial Narrow"/>
          <w:sz w:val="18"/>
          <w:szCs w:val="18"/>
        </w:rPr>
        <w:footnoteRef/>
      </w:r>
      <w:r w:rsidRPr="007014A4">
        <w:rPr>
          <w:rFonts w:ascii="Arial Narrow" w:hAnsi="Arial Narrow"/>
          <w:sz w:val="18"/>
          <w:szCs w:val="18"/>
        </w:rPr>
        <w:t xml:space="preserve"> Sindicato Nacional de Trabajadores del Sistema de Transporte Colectivo, Sindicato Único de Trabajadores del Gobierno de la Ciudad de México y Sindicato de Trabajadores del Poder Judicial del Distrito Federal.</w:t>
      </w:r>
    </w:p>
  </w:footnote>
  <w:footnote w:id="69">
    <w:p w:rsidR="007C0694" w:rsidRPr="007014A4" w:rsidRDefault="007C0694" w:rsidP="007014A4">
      <w:pPr>
        <w:pStyle w:val="Textonotapie"/>
        <w:jc w:val="both"/>
        <w:rPr>
          <w:rFonts w:ascii="Arial Narrow" w:hAnsi="Arial Narrow"/>
          <w:sz w:val="18"/>
          <w:szCs w:val="18"/>
        </w:rPr>
      </w:pPr>
      <w:r w:rsidRPr="007014A4">
        <w:rPr>
          <w:rStyle w:val="Refdenotaalpie"/>
          <w:rFonts w:ascii="Arial Narrow" w:hAnsi="Arial Narrow"/>
          <w:sz w:val="18"/>
          <w:szCs w:val="18"/>
        </w:rPr>
        <w:footnoteRef/>
      </w:r>
      <w:r w:rsidRPr="007014A4">
        <w:rPr>
          <w:rFonts w:ascii="Arial Narrow" w:hAnsi="Arial Narrow"/>
          <w:sz w:val="18"/>
          <w:szCs w:val="18"/>
        </w:rPr>
        <w:t xml:space="preserve"> Sindicato de Trabajadores del Tribunal de Justicia Administrativa de la Ciudad de México, Sindicato Democrático Independiente de Trabajadores del Sistema de Transporte Colectivo, Sindicato Independiente de Trabajadores del Instituto de Educación Media Superior del Distrito Federal.</w:t>
      </w:r>
    </w:p>
    <w:p w:rsidR="007C0694" w:rsidRPr="007014A4" w:rsidRDefault="007C0694" w:rsidP="007014A4">
      <w:pPr>
        <w:pStyle w:val="Textonotapie"/>
        <w:jc w:val="both"/>
        <w:rPr>
          <w:rFonts w:ascii="Arial Narrow" w:hAnsi="Arial Narrow"/>
          <w:sz w:val="18"/>
          <w:szCs w:val="18"/>
        </w:rPr>
      </w:pPr>
    </w:p>
  </w:footnote>
  <w:footnote w:id="70">
    <w:p w:rsidR="007C0694" w:rsidRPr="007014A4" w:rsidRDefault="007C0694" w:rsidP="007014A4">
      <w:pPr>
        <w:pStyle w:val="Textonotapie"/>
        <w:jc w:val="both"/>
        <w:rPr>
          <w:rFonts w:ascii="Arial Narrow" w:hAnsi="Arial Narrow"/>
          <w:sz w:val="18"/>
          <w:szCs w:val="18"/>
        </w:rPr>
      </w:pPr>
      <w:r w:rsidRPr="007014A4">
        <w:rPr>
          <w:rStyle w:val="Refdenotaalpie"/>
          <w:rFonts w:ascii="Arial Narrow" w:hAnsi="Arial Narrow"/>
          <w:sz w:val="18"/>
          <w:szCs w:val="18"/>
        </w:rPr>
        <w:footnoteRef/>
      </w:r>
      <w:r w:rsidRPr="007014A4">
        <w:rPr>
          <w:rFonts w:ascii="Arial Narrow" w:hAnsi="Arial Narrow"/>
          <w:sz w:val="18"/>
          <w:szCs w:val="18"/>
        </w:rPr>
        <w:t xml:space="preserve"> Alianza de Tranviarios de México, Asociación Sindical de Trabajadores del Instituto de Vivienda del Distrito Federal, Asociación Sindical de Trabajadores del Metro, Sindicato Auténtico de Trabajadores de la Asamblea Legislativa del Distrito Federal, Sindicato de Empleados del Servicio de Anales de Jurisprudencia, Sindicato de la Unión de Trabajadores del Instituto de Educación Media Superior del Distrito Federal, Sindicato de Trabajadores de la Asamblea Legislativa del Distrito Federal, Sindicato de Trabajadores de la Auditoría Superior de la Ciudad de México, Sindicato de Trabajadores de Transporte de Pasajeros del Distrito Federal,  Sindicato de Trabajadores del Tribunal Superior de Justicia del Distrito Federal, Sindicato del Heroico Cuerpo de Bomberos del Distrito Federal, Sindicato Democrático de los Trabajadores de la Procuraduría Social del Distrito Federal, Sindicato Independiente de Trabajadores Unidos de la Asamblea Legislativa del Distrito Federal, Sindicato Único de Trabajadores de la Universidad Autónoma de la Ciudad de México y Sindicato Único de Trabajadores Democráticos del Sistema de Transporte Colectivo.</w:t>
      </w:r>
    </w:p>
  </w:footnote>
  <w:footnote w:id="71">
    <w:p w:rsidR="007C0694" w:rsidRPr="007014A4" w:rsidRDefault="007C0694" w:rsidP="007014A4">
      <w:pPr>
        <w:pStyle w:val="Textonotapie"/>
        <w:jc w:val="both"/>
        <w:rPr>
          <w:rFonts w:ascii="Arial Narrow" w:hAnsi="Arial Narrow"/>
          <w:sz w:val="18"/>
          <w:szCs w:val="18"/>
        </w:rPr>
      </w:pPr>
      <w:r w:rsidRPr="007014A4">
        <w:rPr>
          <w:rStyle w:val="Refdenotaalpie"/>
          <w:rFonts w:ascii="Arial Narrow" w:hAnsi="Arial Narrow"/>
          <w:sz w:val="18"/>
          <w:szCs w:val="18"/>
        </w:rPr>
        <w:footnoteRef/>
      </w:r>
      <w:r w:rsidRPr="007014A4">
        <w:rPr>
          <w:rFonts w:ascii="Arial Narrow" w:hAnsi="Arial Narrow"/>
          <w:sz w:val="18"/>
          <w:szCs w:val="18"/>
        </w:rPr>
        <w:t xml:space="preserve"> Sindicato Nacional de Trabajadores del Sistema de Transporte Colectivo, Sindicato Único de Trabajadores del Gobierno de la Ciudad de México, Sindicato de Trabajadores del Poder Judicial del Distrito Federal y Sindicato Independiente de Trabajadores del Instituto de Educación Media Superior del Distrito Federal.</w:t>
      </w:r>
    </w:p>
  </w:footnote>
  <w:footnote w:id="72">
    <w:p w:rsidR="007C0694" w:rsidRPr="007014A4" w:rsidRDefault="007C0694" w:rsidP="007014A4">
      <w:pPr>
        <w:pStyle w:val="Textonotapie"/>
        <w:jc w:val="both"/>
        <w:rPr>
          <w:rFonts w:ascii="Arial Narrow" w:hAnsi="Arial Narrow"/>
          <w:sz w:val="18"/>
          <w:szCs w:val="18"/>
        </w:rPr>
      </w:pPr>
      <w:r w:rsidRPr="007014A4">
        <w:rPr>
          <w:rStyle w:val="Refdenotaalpie"/>
          <w:rFonts w:ascii="Arial Narrow" w:hAnsi="Arial Narrow"/>
          <w:sz w:val="18"/>
          <w:szCs w:val="18"/>
        </w:rPr>
        <w:footnoteRef/>
      </w:r>
      <w:r w:rsidRPr="007014A4">
        <w:rPr>
          <w:rFonts w:ascii="Arial Narrow" w:hAnsi="Arial Narrow"/>
          <w:sz w:val="18"/>
          <w:szCs w:val="18"/>
        </w:rPr>
        <w:t xml:space="preserve"> Sindicato de Trabajadores del Tribunal de Justicia Administrativa de la Ciudad de México y Sindicato Democrático Independiente de Trabajadores del Sistema de Transporte Colectivo.</w:t>
      </w:r>
    </w:p>
  </w:footnote>
  <w:footnote w:id="73">
    <w:p w:rsidR="007C0694" w:rsidRPr="007014A4" w:rsidRDefault="007C0694" w:rsidP="007014A4">
      <w:pPr>
        <w:pStyle w:val="Textonotapie"/>
        <w:jc w:val="both"/>
        <w:rPr>
          <w:rFonts w:ascii="Arial Narrow" w:hAnsi="Arial Narrow"/>
          <w:sz w:val="18"/>
          <w:szCs w:val="18"/>
        </w:rPr>
      </w:pPr>
      <w:r w:rsidRPr="007014A4">
        <w:rPr>
          <w:rStyle w:val="Refdenotaalpie"/>
          <w:rFonts w:ascii="Arial Narrow" w:hAnsi="Arial Narrow"/>
          <w:sz w:val="18"/>
          <w:szCs w:val="18"/>
        </w:rPr>
        <w:footnoteRef/>
      </w:r>
      <w:r w:rsidRPr="007014A4">
        <w:rPr>
          <w:rFonts w:ascii="Arial Narrow" w:hAnsi="Arial Narrow"/>
          <w:sz w:val="18"/>
          <w:szCs w:val="18"/>
        </w:rPr>
        <w:t xml:space="preserve"> Alianza de Tranviarios de México, Asociación Sindical de Trabajadores del Instituto de Vivienda del Distrito Federal, Asociación Sindical de Trabajadores del Metro, Sindicato Auténtico de Trabajadores de la Asamblea Legislativa del Distrito Federal, Sindicato de Empleados del Servicio de Anales de Jurisprudencia, Sindicato de la Unión de Trabajadores del Instituto de Educación Media Superior del Distrito Federal, Sindicato de Trabajadores de la Asamblea Legislativa del Distrito Federal, Sindicato de Trabajadores de la Auditoría Superior de la Ciudad de México, Sindicato de Trabajadores de Transporte de Pasajeros del Distrito Federal,  Sindicato de Trabajadores del Tribunal Superior de Justicia del Distrito Federal, Sindicato del Heroico Cuerpo de Bomberos del Distrito Federal, Sindicato Democrático de los Trabajadores de la Procuraduría Social del Distrito Federal, Sindicato Independiente de Trabajadores Unidos de la Asamblea Legislativa del Distrito Federal, Sindicato Único de Trabajadores de la Universidad Autónoma de la Ciudad de México y Sindicato Único de Trabajadores Democráticos del Sistema de Transporte Colectivo.</w:t>
      </w:r>
    </w:p>
    <w:p w:rsidR="007C0694" w:rsidRPr="007014A4" w:rsidRDefault="007C0694" w:rsidP="007014A4">
      <w:pPr>
        <w:pStyle w:val="Textonotapie"/>
        <w:jc w:val="both"/>
        <w:rPr>
          <w:rFonts w:ascii="Arial Narrow" w:hAnsi="Arial Narrow"/>
          <w:sz w:val="18"/>
          <w:szCs w:val="18"/>
        </w:rPr>
      </w:pPr>
    </w:p>
  </w:footnote>
  <w:footnote w:id="74">
    <w:p w:rsidR="007C0694" w:rsidRPr="007014A4" w:rsidRDefault="007C0694" w:rsidP="007014A4">
      <w:pPr>
        <w:pStyle w:val="Textonotapie"/>
        <w:jc w:val="both"/>
        <w:rPr>
          <w:rFonts w:ascii="Arial Narrow" w:hAnsi="Arial Narrow"/>
          <w:sz w:val="18"/>
          <w:szCs w:val="18"/>
        </w:rPr>
      </w:pPr>
      <w:r w:rsidRPr="007014A4">
        <w:rPr>
          <w:rStyle w:val="Refdenotaalpie"/>
          <w:rFonts w:ascii="Arial Narrow" w:hAnsi="Arial Narrow"/>
          <w:sz w:val="18"/>
          <w:szCs w:val="18"/>
        </w:rPr>
        <w:footnoteRef/>
      </w:r>
      <w:r w:rsidRPr="007014A4">
        <w:rPr>
          <w:rFonts w:ascii="Arial Narrow" w:hAnsi="Arial Narrow"/>
          <w:sz w:val="18"/>
          <w:szCs w:val="18"/>
        </w:rPr>
        <w:t xml:space="preserve"> Sindicato Nacional de Trabajadores del Sistema de Transporte Colectivo, Sindicato Único de Trabajadores del Gobierno de la Ciudad de México, Sindicato de Trabajadores del Poder Judicial del Distrito Federal, Sindicato Independiente de Trabajadores del Instituto de Educación Media Superior del Distrito Federal y Sindicato Democrático Independiente de Trabajadores del Sistema de Transporte Colectivo.</w:t>
      </w:r>
    </w:p>
  </w:footnote>
  <w:footnote w:id="75">
    <w:p w:rsidR="007C0694" w:rsidRPr="007014A4" w:rsidRDefault="007C0694" w:rsidP="007014A4">
      <w:pPr>
        <w:pStyle w:val="Textonotapie"/>
        <w:jc w:val="both"/>
        <w:rPr>
          <w:rFonts w:ascii="Arial Narrow" w:hAnsi="Arial Narrow"/>
          <w:sz w:val="18"/>
          <w:szCs w:val="18"/>
        </w:rPr>
      </w:pPr>
      <w:r w:rsidRPr="007014A4">
        <w:rPr>
          <w:rStyle w:val="Refdenotaalpie"/>
          <w:rFonts w:ascii="Arial Narrow" w:hAnsi="Arial Narrow"/>
          <w:sz w:val="18"/>
          <w:szCs w:val="18"/>
        </w:rPr>
        <w:footnoteRef/>
      </w:r>
      <w:r w:rsidRPr="007014A4">
        <w:rPr>
          <w:rFonts w:ascii="Arial Narrow" w:hAnsi="Arial Narrow"/>
          <w:sz w:val="18"/>
          <w:szCs w:val="18"/>
        </w:rPr>
        <w:t xml:space="preserve"> Alianza de Tranviarios de México, Asociación Sindical de Trabajadores del Instituto de Vivienda del Distrito Federal, Asociación Sindical de Trabajadores del Metro, Sindicato Auténtico de Trabajadores de la Asamblea Legislativa del Distrito Federal, Sindicato de Empleados del Servicio de Anales de Jurisprudencia, Sindicato de la Unión de Trabajadores del Instituto de Educación Media Superior del Distrito Federal, Sindicato de Trabajadores de la Asamblea Legislativa del Distrito Federal, Sindicato de Trabajadores de la Auditoría Superior de la Ciudad de México, Sindicato de Trabajadores de Transporte de Pasajeros del Distrito Federal,  Sindicato de Trabajadores del Tribunal Superior de Justicia del Distrito Federal, Sindicato del Heroico Cuerpo de Bomberos del Distrito Federal, Sindicato Democrático de los Trabajadores de la Procuraduría Social del Distrito Federal, Sindicato Independiente de Trabajadores Unidos de la Asamblea Legislativa del Distrito Federal, Sindicato Único de Trabajadores de la Universidad Autónoma de la Ciudad de México y Sindicato Único de Trabajadores Democráticos del Sistema de Transporte Colectivo.</w:t>
      </w:r>
    </w:p>
  </w:footnote>
  <w:footnote w:id="76">
    <w:p w:rsidR="007C0694" w:rsidRPr="007014A4" w:rsidRDefault="007C0694" w:rsidP="007014A4">
      <w:pPr>
        <w:pStyle w:val="Textonotapie"/>
        <w:jc w:val="both"/>
        <w:rPr>
          <w:rFonts w:ascii="Arial Narrow" w:hAnsi="Arial Narrow"/>
          <w:sz w:val="18"/>
          <w:szCs w:val="18"/>
        </w:rPr>
      </w:pPr>
      <w:r w:rsidRPr="007014A4">
        <w:rPr>
          <w:rStyle w:val="Refdenotaalpie"/>
          <w:rFonts w:ascii="Arial Narrow" w:hAnsi="Arial Narrow"/>
          <w:sz w:val="18"/>
          <w:szCs w:val="18"/>
        </w:rPr>
        <w:footnoteRef/>
      </w:r>
      <w:r w:rsidRPr="007014A4">
        <w:rPr>
          <w:rFonts w:ascii="Arial Narrow" w:hAnsi="Arial Narrow"/>
          <w:sz w:val="18"/>
          <w:szCs w:val="18"/>
        </w:rPr>
        <w:t xml:space="preserve"> Sindicato Nacional de Trabajadores del Sistema de Transporte Colectivo, Sindicato Único de Trabajadores del Gobierno de la Ciudad de México, Sindicato de Trabajadores del Poder Judicial del Distrito Federal, Sindicato Independiente de Trabajadores del Instituto de Educación Media Superior del Distrito Federal y Sindicato Democrático Independiente de Trabajadores del Sistema de Transporte Colectivo.</w:t>
      </w:r>
    </w:p>
  </w:footnote>
  <w:footnote w:id="77">
    <w:p w:rsidR="007C0694" w:rsidRPr="007014A4" w:rsidRDefault="007C0694" w:rsidP="007014A4">
      <w:pPr>
        <w:pStyle w:val="Textonotapie"/>
        <w:jc w:val="both"/>
        <w:rPr>
          <w:rFonts w:ascii="Arial Narrow" w:hAnsi="Arial Narrow"/>
          <w:sz w:val="18"/>
          <w:szCs w:val="18"/>
        </w:rPr>
      </w:pPr>
      <w:r w:rsidRPr="007014A4">
        <w:rPr>
          <w:rStyle w:val="Refdenotaalpie"/>
          <w:rFonts w:ascii="Arial Narrow" w:hAnsi="Arial Narrow"/>
          <w:sz w:val="18"/>
          <w:szCs w:val="18"/>
        </w:rPr>
        <w:footnoteRef/>
      </w:r>
      <w:r w:rsidRPr="007014A4">
        <w:rPr>
          <w:rFonts w:ascii="Arial Narrow" w:hAnsi="Arial Narrow"/>
          <w:sz w:val="18"/>
          <w:szCs w:val="18"/>
        </w:rPr>
        <w:t xml:space="preserve"> Alianza de Tranviarios de México, Asociación Sindical de Trabajadores del Instituto de Vivienda del Distrito Federal, Asociación Sindical de Trabajadores del Metro, Sindicato Auténtico de Trabajadores de la Asamblea Legislativa del Distrito Federal, Sindicato de Empleados del Servicio de Anales de Jurisprudencia, Sindicato de la Unión de Trabajadores del Instituto de Educación Media Superior del Distrito Federal, Sindicato de Trabajadores de la Asamblea Legislativa del Distrito Federal, Sindicato de Trabajadores de la Auditoría Superior de la Ciudad de México, Sindicato de Trabajadores de Transporte de Pasajeros del Distrito Federal,  Sindicato de Trabajadores del Tribunal Superior de Justicia del Distrito Federal, Sindicato del Heroico Cuerpo de Bomberos del Distrito Federal, Sindicato Democrático de los Trabajadores de la Procuraduría Social del Distrito Federal, Sindicato Independiente de Trabajadores Unidos de la Asamblea Legislativa del Distrito Federal, Sindicato Único de Trabajadores de la Universidad Autónoma de la Ciudad de México y Sindicato Único de Trabajadores Democráticos del Sistema de Transporte Colectivo.</w:t>
      </w:r>
    </w:p>
  </w:footnote>
  <w:footnote w:id="78">
    <w:p w:rsidR="007C0694" w:rsidRPr="007014A4" w:rsidRDefault="007C0694" w:rsidP="007014A4">
      <w:pPr>
        <w:pStyle w:val="Textonotapie"/>
        <w:jc w:val="both"/>
        <w:rPr>
          <w:rFonts w:ascii="Arial Narrow" w:hAnsi="Arial Narrow"/>
          <w:sz w:val="18"/>
          <w:szCs w:val="18"/>
        </w:rPr>
      </w:pPr>
      <w:r w:rsidRPr="007014A4">
        <w:rPr>
          <w:rStyle w:val="Refdenotaalpie"/>
          <w:rFonts w:ascii="Arial Narrow" w:hAnsi="Arial Narrow"/>
          <w:sz w:val="18"/>
          <w:szCs w:val="18"/>
        </w:rPr>
        <w:footnoteRef/>
      </w:r>
      <w:r w:rsidRPr="007014A4">
        <w:rPr>
          <w:rFonts w:ascii="Arial Narrow" w:hAnsi="Arial Narrow"/>
          <w:sz w:val="18"/>
          <w:szCs w:val="18"/>
        </w:rPr>
        <w:t>Sindicato Único de Trabajadores del Gobierno de la Ciudad de México y Sindicato de Trabajadores del Poder Judicial del Distrito Federal.</w:t>
      </w:r>
    </w:p>
  </w:footnote>
  <w:footnote w:id="79">
    <w:p w:rsidR="007C0694" w:rsidRPr="007014A4" w:rsidRDefault="007C0694" w:rsidP="007014A4">
      <w:pPr>
        <w:pStyle w:val="Textonotapie"/>
        <w:jc w:val="both"/>
        <w:rPr>
          <w:rFonts w:ascii="Arial Narrow" w:hAnsi="Arial Narrow"/>
          <w:sz w:val="18"/>
          <w:szCs w:val="18"/>
        </w:rPr>
      </w:pPr>
      <w:r w:rsidRPr="007014A4">
        <w:rPr>
          <w:rStyle w:val="Refdenotaalpie"/>
          <w:rFonts w:ascii="Arial Narrow" w:hAnsi="Arial Narrow"/>
          <w:sz w:val="18"/>
          <w:szCs w:val="18"/>
        </w:rPr>
        <w:footnoteRef/>
      </w:r>
      <w:r w:rsidRPr="007014A4">
        <w:rPr>
          <w:rFonts w:ascii="Arial Narrow" w:hAnsi="Arial Narrow"/>
          <w:sz w:val="18"/>
          <w:szCs w:val="18"/>
        </w:rPr>
        <w:t xml:space="preserve"> Sindicato Nacional de Trabajadores del Sistema de Transporte Colectivo.</w:t>
      </w:r>
    </w:p>
  </w:footnote>
  <w:footnote w:id="80">
    <w:p w:rsidR="007C0694" w:rsidRPr="007014A4" w:rsidRDefault="007C0694" w:rsidP="007014A4">
      <w:pPr>
        <w:pStyle w:val="Textonotapie"/>
        <w:jc w:val="both"/>
        <w:rPr>
          <w:rFonts w:ascii="Arial Narrow" w:hAnsi="Arial Narrow"/>
          <w:sz w:val="18"/>
          <w:szCs w:val="18"/>
        </w:rPr>
      </w:pPr>
      <w:r w:rsidRPr="007014A4">
        <w:rPr>
          <w:rStyle w:val="Refdenotaalpie"/>
          <w:rFonts w:ascii="Arial Narrow" w:hAnsi="Arial Narrow"/>
          <w:sz w:val="18"/>
          <w:szCs w:val="18"/>
        </w:rPr>
        <w:footnoteRef/>
      </w:r>
      <w:r w:rsidRPr="007014A4">
        <w:rPr>
          <w:rFonts w:ascii="Arial Narrow" w:hAnsi="Arial Narrow"/>
          <w:sz w:val="18"/>
          <w:szCs w:val="18"/>
        </w:rPr>
        <w:t xml:space="preserve"> Sindicato Democrático Independiente de Trabajadores del Sistema de Transporte Colectivo y Sindicato de Trabajadores del Tribunal de Justicia Administrativa de la Ciudad de México.</w:t>
      </w:r>
    </w:p>
  </w:footnote>
  <w:footnote w:id="81">
    <w:p w:rsidR="007C0694" w:rsidRPr="007014A4" w:rsidRDefault="007C0694" w:rsidP="007014A4">
      <w:pPr>
        <w:pStyle w:val="Textonotapie"/>
        <w:jc w:val="both"/>
        <w:rPr>
          <w:rFonts w:ascii="Arial Narrow" w:hAnsi="Arial Narrow"/>
          <w:sz w:val="18"/>
          <w:szCs w:val="18"/>
        </w:rPr>
      </w:pPr>
      <w:r w:rsidRPr="007014A4">
        <w:rPr>
          <w:rStyle w:val="Refdenotaalpie"/>
          <w:rFonts w:ascii="Arial Narrow" w:hAnsi="Arial Narrow"/>
          <w:sz w:val="18"/>
          <w:szCs w:val="18"/>
        </w:rPr>
        <w:footnoteRef/>
      </w:r>
      <w:r w:rsidRPr="007014A4">
        <w:rPr>
          <w:rFonts w:ascii="Arial Narrow" w:hAnsi="Arial Narrow"/>
          <w:sz w:val="18"/>
          <w:szCs w:val="18"/>
        </w:rPr>
        <w:t xml:space="preserve"> Alianza de Tranviarios de México, Asociación Sindical de Trabajadores del Instituto de Vivienda del Distrito Federal, Asociación Sindical de Trabajadores del Metro, Sindicato Auténtico de Trabajadores de la Asamblea Legislativa del Distrito Federal, Sindicato de Empleados del Servicio de Anales de Jurisprudencia, Sindicato de la Unión de Trabajadores del Instituto de Educación Media Superior del Distrito Federal, Sindicato de Trabajadores de la Asamblea Legislativa del Distrito Federal, Sindicato de Trabajadores de la Auditoría Superior de la Ciudad de México, Sindicato de Trabajadores de Transporte de Pasajeros del Distrito Federal,  Sindicato de Trabajadores del Tribunal Superior de Justicia del Distrito Federal, Sindicato del Heroico Cuerpo de Bomberos del Distrito Federal, Sindicato Democrático de los Trabajadores de la Procuraduría Social del Distrito Federal, Sindicato Independiente de Trabajadores Unidos de la Asamblea Legislativa del Distrito Federal, Sindicato Único de Trabajadores de la Universidad Autónoma de la Ciudad de México y Sindicato Único de Trabajadores Democráticos del Sistema de Transporte Colectivo.</w:t>
      </w:r>
    </w:p>
  </w:footnote>
  <w:footnote w:id="82">
    <w:p w:rsidR="007C0694" w:rsidRPr="007014A4" w:rsidRDefault="007C0694" w:rsidP="007014A4">
      <w:pPr>
        <w:pStyle w:val="Textonotapie"/>
        <w:jc w:val="both"/>
        <w:rPr>
          <w:rFonts w:ascii="Arial Narrow" w:hAnsi="Arial Narrow"/>
          <w:sz w:val="18"/>
          <w:szCs w:val="18"/>
        </w:rPr>
      </w:pPr>
      <w:r w:rsidRPr="007014A4">
        <w:rPr>
          <w:rStyle w:val="Refdenotaalpie"/>
          <w:rFonts w:ascii="Arial Narrow" w:hAnsi="Arial Narrow"/>
          <w:sz w:val="18"/>
          <w:szCs w:val="18"/>
        </w:rPr>
        <w:footnoteRef/>
      </w:r>
      <w:r w:rsidRPr="007014A4">
        <w:rPr>
          <w:rFonts w:ascii="Arial Narrow" w:hAnsi="Arial Narrow"/>
          <w:sz w:val="18"/>
          <w:szCs w:val="18"/>
        </w:rPr>
        <w:t xml:space="preserve"> Sindicato Nacional de Trabajadores del Sistema de Transporte Colectivo Y Sindicato Único de Trabajadores del Gobierno de la Ciudad de México.</w:t>
      </w:r>
    </w:p>
  </w:footnote>
  <w:footnote w:id="83">
    <w:p w:rsidR="007C0694" w:rsidRPr="007014A4" w:rsidRDefault="007C0694" w:rsidP="007014A4">
      <w:pPr>
        <w:pStyle w:val="Textonotapie"/>
        <w:jc w:val="both"/>
        <w:rPr>
          <w:rFonts w:ascii="Arial Narrow" w:hAnsi="Arial Narrow"/>
          <w:sz w:val="18"/>
          <w:szCs w:val="18"/>
        </w:rPr>
      </w:pPr>
      <w:r w:rsidRPr="007014A4">
        <w:rPr>
          <w:rStyle w:val="Refdenotaalpie"/>
          <w:rFonts w:ascii="Arial Narrow" w:hAnsi="Arial Narrow"/>
          <w:sz w:val="18"/>
          <w:szCs w:val="18"/>
        </w:rPr>
        <w:footnoteRef/>
      </w:r>
      <w:r w:rsidRPr="007014A4">
        <w:rPr>
          <w:rFonts w:ascii="Arial Narrow" w:hAnsi="Arial Narrow"/>
          <w:sz w:val="18"/>
          <w:szCs w:val="18"/>
        </w:rPr>
        <w:t xml:space="preserve"> Sindicato de Trabajadores del Poder Judicial del Distrito Federal y Sindicato de Trabajadores del Tribunal de Justicia Administrativa de la Ciudad de México.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0694" w:rsidRPr="00E724ED" w:rsidRDefault="007C0694" w:rsidP="00E724ED">
    <w:pPr>
      <w:tabs>
        <w:tab w:val="center" w:pos="4420"/>
      </w:tabs>
      <w:ind w:left="1134" w:right="-518"/>
      <w:jc w:val="right"/>
      <w:rPr>
        <w:rFonts w:ascii="Arial Narrow" w:hAnsi="Arial Narrow" w:cs="Arial"/>
        <w:b/>
        <w:color w:val="4597A1"/>
        <w:sz w:val="20"/>
        <w:szCs w:val="19"/>
        <w:lang w:val="es-MX"/>
      </w:rPr>
    </w:pPr>
    <w:r w:rsidRPr="00E724ED">
      <w:rPr>
        <w:rFonts w:ascii="Arial Narrow" w:hAnsi="Arial Narrow"/>
        <w:b/>
        <w:noProof/>
        <w:sz w:val="20"/>
        <w:szCs w:val="19"/>
        <w:lang w:val="es-MX" w:eastAsia="es-MX"/>
      </w:rPr>
      <w:drawing>
        <wp:anchor distT="0" distB="0" distL="114300" distR="114300" simplePos="0" relativeHeight="251659264" behindDoc="0" locked="0" layoutInCell="1" allowOverlap="1" wp14:anchorId="21FC878E" wp14:editId="6FE91C76">
          <wp:simplePos x="0" y="0"/>
          <wp:positionH relativeFrom="column">
            <wp:posOffset>-601980</wp:posOffset>
          </wp:positionH>
          <wp:positionV relativeFrom="paragraph">
            <wp:posOffset>-111760</wp:posOffset>
          </wp:positionV>
          <wp:extent cx="1062355" cy="503555"/>
          <wp:effectExtent l="0" t="0" r="4445" b="0"/>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r="18030"/>
                  <a:stretch>
                    <a:fillRect/>
                  </a:stretch>
                </pic:blipFill>
                <pic:spPr bwMode="auto">
                  <a:xfrm>
                    <a:off x="0" y="0"/>
                    <a:ext cx="1062355" cy="5035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724ED">
      <w:rPr>
        <w:rFonts w:ascii="Arial Narrow" w:hAnsi="Arial Narrow" w:cs="Arial"/>
        <w:b/>
        <w:color w:val="4597A1"/>
        <w:sz w:val="20"/>
        <w:szCs w:val="19"/>
        <w:lang w:val="es-MX"/>
      </w:rPr>
      <w:t>INSTITUTO DE TRANSPARENCIA, ACCESO A LA INFORMACIÓN PÚBLICA,</w:t>
    </w:r>
  </w:p>
  <w:p w:rsidR="007C0694" w:rsidRPr="00E724ED" w:rsidRDefault="007C0694" w:rsidP="00E724ED">
    <w:pPr>
      <w:tabs>
        <w:tab w:val="center" w:pos="4420"/>
      </w:tabs>
      <w:ind w:left="1134" w:right="-518"/>
      <w:jc w:val="right"/>
      <w:rPr>
        <w:rFonts w:ascii="Arial Narrow" w:hAnsi="Arial Narrow" w:cs="Arial"/>
        <w:b/>
        <w:color w:val="4597A1"/>
        <w:sz w:val="20"/>
        <w:szCs w:val="19"/>
        <w:lang w:val="es-MX"/>
      </w:rPr>
    </w:pPr>
    <w:r w:rsidRPr="00E724ED">
      <w:rPr>
        <w:rFonts w:ascii="Arial Narrow" w:hAnsi="Arial Narrow" w:cs="Arial"/>
        <w:b/>
        <w:color w:val="4597A1"/>
        <w:sz w:val="20"/>
        <w:szCs w:val="19"/>
        <w:lang w:val="es-MX"/>
      </w:rPr>
      <w:t>PROTECCIÓN DE DATOS PERSONALES Y RENDICIÓN DE CUENTAS DE LA CIUDAD DE MÉXICO</w:t>
    </w:r>
  </w:p>
  <w:p w:rsidR="007C0694" w:rsidRPr="00E724ED" w:rsidRDefault="007C0694" w:rsidP="00E724ED">
    <w:pPr>
      <w:tabs>
        <w:tab w:val="center" w:pos="4420"/>
      </w:tabs>
      <w:ind w:left="1134" w:right="-518"/>
      <w:jc w:val="right"/>
      <w:rPr>
        <w:rFonts w:ascii="Arial Narrow" w:hAnsi="Arial Narrow" w:cs="Arial"/>
        <w:b/>
        <w:color w:val="4597A1"/>
        <w:sz w:val="20"/>
        <w:szCs w:val="19"/>
        <w:lang w:val="es-MX"/>
      </w:rPr>
    </w:pPr>
  </w:p>
  <w:p w:rsidR="007C0694" w:rsidRPr="00E724ED" w:rsidRDefault="007C0694" w:rsidP="00E724ED">
    <w:pPr>
      <w:tabs>
        <w:tab w:val="center" w:pos="4420"/>
      </w:tabs>
      <w:ind w:left="1134" w:right="-518"/>
      <w:jc w:val="right"/>
      <w:rPr>
        <w:rFonts w:ascii="Arial Narrow" w:hAnsi="Arial Narrow" w:cs="Arial"/>
        <w:b/>
        <w:color w:val="4597A1"/>
        <w:sz w:val="20"/>
        <w:szCs w:val="19"/>
        <w:lang w:val="es-MX"/>
      </w:rPr>
    </w:pPr>
    <w:r w:rsidRPr="00E724ED">
      <w:rPr>
        <w:rFonts w:ascii="Arial Narrow" w:hAnsi="Arial Narrow" w:cs="Arial"/>
        <w:b/>
        <w:color w:val="4597A1"/>
        <w:sz w:val="20"/>
        <w:szCs w:val="19"/>
        <w:lang w:val="es-MX"/>
      </w:rPr>
      <w:t>DIRECCIÓN DE ESTADO ABIERTO, ESTUDIOS Y EVALUACIÓN.</w:t>
    </w:r>
  </w:p>
  <w:p w:rsidR="007C0694" w:rsidRDefault="007C0694" w:rsidP="00E724ED">
    <w:pPr>
      <w:pStyle w:val="Encabezado"/>
      <w:ind w:firstLine="70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145DD"/>
    <w:multiLevelType w:val="hybridMultilevel"/>
    <w:tmpl w:val="E4CABF90"/>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07F45559"/>
    <w:multiLevelType w:val="hybridMultilevel"/>
    <w:tmpl w:val="12828A90"/>
    <w:lvl w:ilvl="0" w:tplc="080A000F">
      <w:start w:val="1"/>
      <w:numFmt w:val="decimal"/>
      <w:lvlText w:val="%1."/>
      <w:lvlJc w:val="left"/>
      <w:pPr>
        <w:ind w:left="770" w:hanging="360"/>
      </w:pPr>
    </w:lvl>
    <w:lvl w:ilvl="1" w:tplc="080A0019" w:tentative="1">
      <w:start w:val="1"/>
      <w:numFmt w:val="lowerLetter"/>
      <w:lvlText w:val="%2."/>
      <w:lvlJc w:val="left"/>
      <w:pPr>
        <w:ind w:left="1490" w:hanging="360"/>
      </w:pPr>
    </w:lvl>
    <w:lvl w:ilvl="2" w:tplc="080A001B" w:tentative="1">
      <w:start w:val="1"/>
      <w:numFmt w:val="lowerRoman"/>
      <w:lvlText w:val="%3."/>
      <w:lvlJc w:val="right"/>
      <w:pPr>
        <w:ind w:left="2210" w:hanging="180"/>
      </w:pPr>
    </w:lvl>
    <w:lvl w:ilvl="3" w:tplc="080A000F" w:tentative="1">
      <w:start w:val="1"/>
      <w:numFmt w:val="decimal"/>
      <w:lvlText w:val="%4."/>
      <w:lvlJc w:val="left"/>
      <w:pPr>
        <w:ind w:left="2930" w:hanging="360"/>
      </w:pPr>
    </w:lvl>
    <w:lvl w:ilvl="4" w:tplc="080A0019" w:tentative="1">
      <w:start w:val="1"/>
      <w:numFmt w:val="lowerLetter"/>
      <w:lvlText w:val="%5."/>
      <w:lvlJc w:val="left"/>
      <w:pPr>
        <w:ind w:left="3650" w:hanging="360"/>
      </w:pPr>
    </w:lvl>
    <w:lvl w:ilvl="5" w:tplc="080A001B" w:tentative="1">
      <w:start w:val="1"/>
      <w:numFmt w:val="lowerRoman"/>
      <w:lvlText w:val="%6."/>
      <w:lvlJc w:val="right"/>
      <w:pPr>
        <w:ind w:left="4370" w:hanging="180"/>
      </w:pPr>
    </w:lvl>
    <w:lvl w:ilvl="6" w:tplc="080A000F" w:tentative="1">
      <w:start w:val="1"/>
      <w:numFmt w:val="decimal"/>
      <w:lvlText w:val="%7."/>
      <w:lvlJc w:val="left"/>
      <w:pPr>
        <w:ind w:left="5090" w:hanging="360"/>
      </w:pPr>
    </w:lvl>
    <w:lvl w:ilvl="7" w:tplc="080A0019" w:tentative="1">
      <w:start w:val="1"/>
      <w:numFmt w:val="lowerLetter"/>
      <w:lvlText w:val="%8."/>
      <w:lvlJc w:val="left"/>
      <w:pPr>
        <w:ind w:left="5810" w:hanging="360"/>
      </w:pPr>
    </w:lvl>
    <w:lvl w:ilvl="8" w:tplc="080A001B" w:tentative="1">
      <w:start w:val="1"/>
      <w:numFmt w:val="lowerRoman"/>
      <w:lvlText w:val="%9."/>
      <w:lvlJc w:val="right"/>
      <w:pPr>
        <w:ind w:left="6530" w:hanging="180"/>
      </w:pPr>
    </w:lvl>
  </w:abstractNum>
  <w:abstractNum w:abstractNumId="2" w15:restartNumberingAfterBreak="0">
    <w:nsid w:val="0B835488"/>
    <w:multiLevelType w:val="multilevel"/>
    <w:tmpl w:val="A2285B24"/>
    <w:lvl w:ilvl="0">
      <w:start w:val="1"/>
      <w:numFmt w:val="decimal"/>
      <w:lvlText w:val="%1."/>
      <w:lvlJc w:val="left"/>
      <w:pPr>
        <w:ind w:left="360" w:hanging="360"/>
      </w:pPr>
    </w:lvl>
    <w:lvl w:ilvl="1">
      <w:start w:val="1"/>
      <w:numFmt w:val="decimal"/>
      <w:lvlText w:val="6.%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0DB62A9"/>
    <w:multiLevelType w:val="multilevel"/>
    <w:tmpl w:val="1EFE7EB6"/>
    <w:lvl w:ilvl="0">
      <w:start w:val="1"/>
      <w:numFmt w:val="decimal"/>
      <w:lvlText w:val="%1."/>
      <w:lvlJc w:val="left"/>
      <w:pPr>
        <w:ind w:left="360" w:hanging="360"/>
      </w:pPr>
    </w:lvl>
    <w:lvl w:ilvl="1">
      <w:start w:val="1"/>
      <w:numFmt w:val="decimal"/>
      <w:lvlText w:val="4.%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33F085E"/>
    <w:multiLevelType w:val="hybridMultilevel"/>
    <w:tmpl w:val="A720E4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4355B35"/>
    <w:multiLevelType w:val="hybridMultilevel"/>
    <w:tmpl w:val="979256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6FD2372"/>
    <w:multiLevelType w:val="multilevel"/>
    <w:tmpl w:val="F86CE08A"/>
    <w:lvl w:ilvl="0">
      <w:start w:val="1"/>
      <w:numFmt w:val="decimal"/>
      <w:lvlText w:val="%1."/>
      <w:lvlJc w:val="left"/>
      <w:pPr>
        <w:ind w:left="360" w:hanging="360"/>
      </w:pPr>
    </w:lvl>
    <w:lvl w:ilvl="1">
      <w:start w:val="1"/>
      <w:numFmt w:val="decimal"/>
      <w:lvlText w:val="3.%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74E34CB"/>
    <w:multiLevelType w:val="hybridMultilevel"/>
    <w:tmpl w:val="12828A90"/>
    <w:lvl w:ilvl="0" w:tplc="080A000F">
      <w:start w:val="1"/>
      <w:numFmt w:val="decimal"/>
      <w:lvlText w:val="%1."/>
      <w:lvlJc w:val="left"/>
      <w:pPr>
        <w:ind w:left="770" w:hanging="360"/>
      </w:pPr>
    </w:lvl>
    <w:lvl w:ilvl="1" w:tplc="080A0019" w:tentative="1">
      <w:start w:val="1"/>
      <w:numFmt w:val="lowerLetter"/>
      <w:lvlText w:val="%2."/>
      <w:lvlJc w:val="left"/>
      <w:pPr>
        <w:ind w:left="1490" w:hanging="360"/>
      </w:pPr>
    </w:lvl>
    <w:lvl w:ilvl="2" w:tplc="080A001B" w:tentative="1">
      <w:start w:val="1"/>
      <w:numFmt w:val="lowerRoman"/>
      <w:lvlText w:val="%3."/>
      <w:lvlJc w:val="right"/>
      <w:pPr>
        <w:ind w:left="2210" w:hanging="180"/>
      </w:pPr>
    </w:lvl>
    <w:lvl w:ilvl="3" w:tplc="080A000F" w:tentative="1">
      <w:start w:val="1"/>
      <w:numFmt w:val="decimal"/>
      <w:lvlText w:val="%4."/>
      <w:lvlJc w:val="left"/>
      <w:pPr>
        <w:ind w:left="2930" w:hanging="360"/>
      </w:pPr>
    </w:lvl>
    <w:lvl w:ilvl="4" w:tplc="080A0019" w:tentative="1">
      <w:start w:val="1"/>
      <w:numFmt w:val="lowerLetter"/>
      <w:lvlText w:val="%5."/>
      <w:lvlJc w:val="left"/>
      <w:pPr>
        <w:ind w:left="3650" w:hanging="360"/>
      </w:pPr>
    </w:lvl>
    <w:lvl w:ilvl="5" w:tplc="080A001B" w:tentative="1">
      <w:start w:val="1"/>
      <w:numFmt w:val="lowerRoman"/>
      <w:lvlText w:val="%6."/>
      <w:lvlJc w:val="right"/>
      <w:pPr>
        <w:ind w:left="4370" w:hanging="180"/>
      </w:pPr>
    </w:lvl>
    <w:lvl w:ilvl="6" w:tplc="080A000F" w:tentative="1">
      <w:start w:val="1"/>
      <w:numFmt w:val="decimal"/>
      <w:lvlText w:val="%7."/>
      <w:lvlJc w:val="left"/>
      <w:pPr>
        <w:ind w:left="5090" w:hanging="360"/>
      </w:pPr>
    </w:lvl>
    <w:lvl w:ilvl="7" w:tplc="080A0019" w:tentative="1">
      <w:start w:val="1"/>
      <w:numFmt w:val="lowerLetter"/>
      <w:lvlText w:val="%8."/>
      <w:lvlJc w:val="left"/>
      <w:pPr>
        <w:ind w:left="5810" w:hanging="360"/>
      </w:pPr>
    </w:lvl>
    <w:lvl w:ilvl="8" w:tplc="080A001B" w:tentative="1">
      <w:start w:val="1"/>
      <w:numFmt w:val="lowerRoman"/>
      <w:lvlText w:val="%9."/>
      <w:lvlJc w:val="right"/>
      <w:pPr>
        <w:ind w:left="6530" w:hanging="180"/>
      </w:pPr>
    </w:lvl>
  </w:abstractNum>
  <w:abstractNum w:abstractNumId="8" w15:restartNumberingAfterBreak="0">
    <w:nsid w:val="1DCA135D"/>
    <w:multiLevelType w:val="multilevel"/>
    <w:tmpl w:val="04D80F5A"/>
    <w:lvl w:ilvl="0">
      <w:start w:val="1"/>
      <w:numFmt w:val="decimal"/>
      <w:lvlText w:val="%1."/>
      <w:lvlJc w:val="left"/>
      <w:pPr>
        <w:ind w:left="360" w:hanging="360"/>
      </w:pPr>
    </w:lvl>
    <w:lvl w:ilvl="1">
      <w:start w:val="1"/>
      <w:numFmt w:val="decimal"/>
      <w:lvlText w:val="%2.4"/>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DF62DB3"/>
    <w:multiLevelType w:val="hybridMultilevel"/>
    <w:tmpl w:val="12828A90"/>
    <w:lvl w:ilvl="0" w:tplc="080A000F">
      <w:start w:val="1"/>
      <w:numFmt w:val="decimal"/>
      <w:lvlText w:val="%1."/>
      <w:lvlJc w:val="left"/>
      <w:pPr>
        <w:ind w:left="770" w:hanging="360"/>
      </w:pPr>
    </w:lvl>
    <w:lvl w:ilvl="1" w:tplc="080A0019" w:tentative="1">
      <w:start w:val="1"/>
      <w:numFmt w:val="lowerLetter"/>
      <w:lvlText w:val="%2."/>
      <w:lvlJc w:val="left"/>
      <w:pPr>
        <w:ind w:left="1490" w:hanging="360"/>
      </w:pPr>
    </w:lvl>
    <w:lvl w:ilvl="2" w:tplc="080A001B" w:tentative="1">
      <w:start w:val="1"/>
      <w:numFmt w:val="lowerRoman"/>
      <w:lvlText w:val="%3."/>
      <w:lvlJc w:val="right"/>
      <w:pPr>
        <w:ind w:left="2210" w:hanging="180"/>
      </w:pPr>
    </w:lvl>
    <w:lvl w:ilvl="3" w:tplc="080A000F" w:tentative="1">
      <w:start w:val="1"/>
      <w:numFmt w:val="decimal"/>
      <w:lvlText w:val="%4."/>
      <w:lvlJc w:val="left"/>
      <w:pPr>
        <w:ind w:left="2930" w:hanging="360"/>
      </w:pPr>
    </w:lvl>
    <w:lvl w:ilvl="4" w:tplc="080A0019" w:tentative="1">
      <w:start w:val="1"/>
      <w:numFmt w:val="lowerLetter"/>
      <w:lvlText w:val="%5."/>
      <w:lvlJc w:val="left"/>
      <w:pPr>
        <w:ind w:left="3650" w:hanging="360"/>
      </w:pPr>
    </w:lvl>
    <w:lvl w:ilvl="5" w:tplc="080A001B" w:tentative="1">
      <w:start w:val="1"/>
      <w:numFmt w:val="lowerRoman"/>
      <w:lvlText w:val="%6."/>
      <w:lvlJc w:val="right"/>
      <w:pPr>
        <w:ind w:left="4370" w:hanging="180"/>
      </w:pPr>
    </w:lvl>
    <w:lvl w:ilvl="6" w:tplc="080A000F" w:tentative="1">
      <w:start w:val="1"/>
      <w:numFmt w:val="decimal"/>
      <w:lvlText w:val="%7."/>
      <w:lvlJc w:val="left"/>
      <w:pPr>
        <w:ind w:left="5090" w:hanging="360"/>
      </w:pPr>
    </w:lvl>
    <w:lvl w:ilvl="7" w:tplc="080A0019" w:tentative="1">
      <w:start w:val="1"/>
      <w:numFmt w:val="lowerLetter"/>
      <w:lvlText w:val="%8."/>
      <w:lvlJc w:val="left"/>
      <w:pPr>
        <w:ind w:left="5810" w:hanging="360"/>
      </w:pPr>
    </w:lvl>
    <w:lvl w:ilvl="8" w:tplc="080A001B" w:tentative="1">
      <w:start w:val="1"/>
      <w:numFmt w:val="lowerRoman"/>
      <w:lvlText w:val="%9."/>
      <w:lvlJc w:val="right"/>
      <w:pPr>
        <w:ind w:left="6530" w:hanging="180"/>
      </w:pPr>
    </w:lvl>
  </w:abstractNum>
  <w:abstractNum w:abstractNumId="10" w15:restartNumberingAfterBreak="0">
    <w:nsid w:val="25AA172C"/>
    <w:multiLevelType w:val="hybridMultilevel"/>
    <w:tmpl w:val="75DA8C0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265C46E8"/>
    <w:multiLevelType w:val="hybridMultilevel"/>
    <w:tmpl w:val="EEE08D0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2F0F184E"/>
    <w:multiLevelType w:val="hybridMultilevel"/>
    <w:tmpl w:val="5BBA41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30EF0F7F"/>
    <w:multiLevelType w:val="hybridMultilevel"/>
    <w:tmpl w:val="499658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1BA64CD"/>
    <w:multiLevelType w:val="hybridMultilevel"/>
    <w:tmpl w:val="CCF4538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5" w15:restartNumberingAfterBreak="0">
    <w:nsid w:val="375B6332"/>
    <w:multiLevelType w:val="hybridMultilevel"/>
    <w:tmpl w:val="12828A90"/>
    <w:lvl w:ilvl="0" w:tplc="080A000F">
      <w:start w:val="1"/>
      <w:numFmt w:val="decimal"/>
      <w:lvlText w:val="%1."/>
      <w:lvlJc w:val="left"/>
      <w:pPr>
        <w:ind w:left="770" w:hanging="360"/>
      </w:pPr>
    </w:lvl>
    <w:lvl w:ilvl="1" w:tplc="080A0019" w:tentative="1">
      <w:start w:val="1"/>
      <w:numFmt w:val="lowerLetter"/>
      <w:lvlText w:val="%2."/>
      <w:lvlJc w:val="left"/>
      <w:pPr>
        <w:ind w:left="1490" w:hanging="360"/>
      </w:pPr>
    </w:lvl>
    <w:lvl w:ilvl="2" w:tplc="080A001B" w:tentative="1">
      <w:start w:val="1"/>
      <w:numFmt w:val="lowerRoman"/>
      <w:lvlText w:val="%3."/>
      <w:lvlJc w:val="right"/>
      <w:pPr>
        <w:ind w:left="2210" w:hanging="180"/>
      </w:pPr>
    </w:lvl>
    <w:lvl w:ilvl="3" w:tplc="080A000F" w:tentative="1">
      <w:start w:val="1"/>
      <w:numFmt w:val="decimal"/>
      <w:lvlText w:val="%4."/>
      <w:lvlJc w:val="left"/>
      <w:pPr>
        <w:ind w:left="2930" w:hanging="360"/>
      </w:pPr>
    </w:lvl>
    <w:lvl w:ilvl="4" w:tplc="080A0019" w:tentative="1">
      <w:start w:val="1"/>
      <w:numFmt w:val="lowerLetter"/>
      <w:lvlText w:val="%5."/>
      <w:lvlJc w:val="left"/>
      <w:pPr>
        <w:ind w:left="3650" w:hanging="360"/>
      </w:pPr>
    </w:lvl>
    <w:lvl w:ilvl="5" w:tplc="080A001B" w:tentative="1">
      <w:start w:val="1"/>
      <w:numFmt w:val="lowerRoman"/>
      <w:lvlText w:val="%6."/>
      <w:lvlJc w:val="right"/>
      <w:pPr>
        <w:ind w:left="4370" w:hanging="180"/>
      </w:pPr>
    </w:lvl>
    <w:lvl w:ilvl="6" w:tplc="080A000F" w:tentative="1">
      <w:start w:val="1"/>
      <w:numFmt w:val="decimal"/>
      <w:lvlText w:val="%7."/>
      <w:lvlJc w:val="left"/>
      <w:pPr>
        <w:ind w:left="5090" w:hanging="360"/>
      </w:pPr>
    </w:lvl>
    <w:lvl w:ilvl="7" w:tplc="080A0019" w:tentative="1">
      <w:start w:val="1"/>
      <w:numFmt w:val="lowerLetter"/>
      <w:lvlText w:val="%8."/>
      <w:lvlJc w:val="left"/>
      <w:pPr>
        <w:ind w:left="5810" w:hanging="360"/>
      </w:pPr>
    </w:lvl>
    <w:lvl w:ilvl="8" w:tplc="080A001B" w:tentative="1">
      <w:start w:val="1"/>
      <w:numFmt w:val="lowerRoman"/>
      <w:lvlText w:val="%9."/>
      <w:lvlJc w:val="right"/>
      <w:pPr>
        <w:ind w:left="6530" w:hanging="180"/>
      </w:pPr>
    </w:lvl>
  </w:abstractNum>
  <w:abstractNum w:abstractNumId="16" w15:restartNumberingAfterBreak="0">
    <w:nsid w:val="37E62EFD"/>
    <w:multiLevelType w:val="hybridMultilevel"/>
    <w:tmpl w:val="12828A90"/>
    <w:lvl w:ilvl="0" w:tplc="080A000F">
      <w:start w:val="1"/>
      <w:numFmt w:val="decimal"/>
      <w:lvlText w:val="%1."/>
      <w:lvlJc w:val="left"/>
      <w:pPr>
        <w:ind w:left="770" w:hanging="360"/>
      </w:pPr>
    </w:lvl>
    <w:lvl w:ilvl="1" w:tplc="080A0019" w:tentative="1">
      <w:start w:val="1"/>
      <w:numFmt w:val="lowerLetter"/>
      <w:lvlText w:val="%2."/>
      <w:lvlJc w:val="left"/>
      <w:pPr>
        <w:ind w:left="1490" w:hanging="360"/>
      </w:pPr>
    </w:lvl>
    <w:lvl w:ilvl="2" w:tplc="080A001B" w:tentative="1">
      <w:start w:val="1"/>
      <w:numFmt w:val="lowerRoman"/>
      <w:lvlText w:val="%3."/>
      <w:lvlJc w:val="right"/>
      <w:pPr>
        <w:ind w:left="2210" w:hanging="180"/>
      </w:pPr>
    </w:lvl>
    <w:lvl w:ilvl="3" w:tplc="080A000F" w:tentative="1">
      <w:start w:val="1"/>
      <w:numFmt w:val="decimal"/>
      <w:lvlText w:val="%4."/>
      <w:lvlJc w:val="left"/>
      <w:pPr>
        <w:ind w:left="2930" w:hanging="360"/>
      </w:pPr>
    </w:lvl>
    <w:lvl w:ilvl="4" w:tplc="080A0019" w:tentative="1">
      <w:start w:val="1"/>
      <w:numFmt w:val="lowerLetter"/>
      <w:lvlText w:val="%5."/>
      <w:lvlJc w:val="left"/>
      <w:pPr>
        <w:ind w:left="3650" w:hanging="360"/>
      </w:pPr>
    </w:lvl>
    <w:lvl w:ilvl="5" w:tplc="080A001B" w:tentative="1">
      <w:start w:val="1"/>
      <w:numFmt w:val="lowerRoman"/>
      <w:lvlText w:val="%6."/>
      <w:lvlJc w:val="right"/>
      <w:pPr>
        <w:ind w:left="4370" w:hanging="180"/>
      </w:pPr>
    </w:lvl>
    <w:lvl w:ilvl="6" w:tplc="080A000F" w:tentative="1">
      <w:start w:val="1"/>
      <w:numFmt w:val="decimal"/>
      <w:lvlText w:val="%7."/>
      <w:lvlJc w:val="left"/>
      <w:pPr>
        <w:ind w:left="5090" w:hanging="360"/>
      </w:pPr>
    </w:lvl>
    <w:lvl w:ilvl="7" w:tplc="080A0019" w:tentative="1">
      <w:start w:val="1"/>
      <w:numFmt w:val="lowerLetter"/>
      <w:lvlText w:val="%8."/>
      <w:lvlJc w:val="left"/>
      <w:pPr>
        <w:ind w:left="5810" w:hanging="360"/>
      </w:pPr>
    </w:lvl>
    <w:lvl w:ilvl="8" w:tplc="080A001B" w:tentative="1">
      <w:start w:val="1"/>
      <w:numFmt w:val="lowerRoman"/>
      <w:lvlText w:val="%9."/>
      <w:lvlJc w:val="right"/>
      <w:pPr>
        <w:ind w:left="6530" w:hanging="180"/>
      </w:pPr>
    </w:lvl>
  </w:abstractNum>
  <w:abstractNum w:abstractNumId="17" w15:restartNumberingAfterBreak="0">
    <w:nsid w:val="37F87193"/>
    <w:multiLevelType w:val="multilevel"/>
    <w:tmpl w:val="368E36A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4.%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86B11AF"/>
    <w:multiLevelType w:val="hybridMultilevel"/>
    <w:tmpl w:val="D442A3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8DB686E"/>
    <w:multiLevelType w:val="hybridMultilevel"/>
    <w:tmpl w:val="12828A90"/>
    <w:lvl w:ilvl="0" w:tplc="080A000F">
      <w:start w:val="1"/>
      <w:numFmt w:val="decimal"/>
      <w:lvlText w:val="%1."/>
      <w:lvlJc w:val="left"/>
      <w:pPr>
        <w:ind w:left="770" w:hanging="360"/>
      </w:pPr>
    </w:lvl>
    <w:lvl w:ilvl="1" w:tplc="080A0019" w:tentative="1">
      <w:start w:val="1"/>
      <w:numFmt w:val="lowerLetter"/>
      <w:lvlText w:val="%2."/>
      <w:lvlJc w:val="left"/>
      <w:pPr>
        <w:ind w:left="1490" w:hanging="360"/>
      </w:pPr>
    </w:lvl>
    <w:lvl w:ilvl="2" w:tplc="080A001B" w:tentative="1">
      <w:start w:val="1"/>
      <w:numFmt w:val="lowerRoman"/>
      <w:lvlText w:val="%3."/>
      <w:lvlJc w:val="right"/>
      <w:pPr>
        <w:ind w:left="2210" w:hanging="180"/>
      </w:pPr>
    </w:lvl>
    <w:lvl w:ilvl="3" w:tplc="080A000F" w:tentative="1">
      <w:start w:val="1"/>
      <w:numFmt w:val="decimal"/>
      <w:lvlText w:val="%4."/>
      <w:lvlJc w:val="left"/>
      <w:pPr>
        <w:ind w:left="2930" w:hanging="360"/>
      </w:pPr>
    </w:lvl>
    <w:lvl w:ilvl="4" w:tplc="080A0019" w:tentative="1">
      <w:start w:val="1"/>
      <w:numFmt w:val="lowerLetter"/>
      <w:lvlText w:val="%5."/>
      <w:lvlJc w:val="left"/>
      <w:pPr>
        <w:ind w:left="3650" w:hanging="360"/>
      </w:pPr>
    </w:lvl>
    <w:lvl w:ilvl="5" w:tplc="080A001B" w:tentative="1">
      <w:start w:val="1"/>
      <w:numFmt w:val="lowerRoman"/>
      <w:lvlText w:val="%6."/>
      <w:lvlJc w:val="right"/>
      <w:pPr>
        <w:ind w:left="4370" w:hanging="180"/>
      </w:pPr>
    </w:lvl>
    <w:lvl w:ilvl="6" w:tplc="080A000F" w:tentative="1">
      <w:start w:val="1"/>
      <w:numFmt w:val="decimal"/>
      <w:lvlText w:val="%7."/>
      <w:lvlJc w:val="left"/>
      <w:pPr>
        <w:ind w:left="5090" w:hanging="360"/>
      </w:pPr>
    </w:lvl>
    <w:lvl w:ilvl="7" w:tplc="080A0019" w:tentative="1">
      <w:start w:val="1"/>
      <w:numFmt w:val="lowerLetter"/>
      <w:lvlText w:val="%8."/>
      <w:lvlJc w:val="left"/>
      <w:pPr>
        <w:ind w:left="5810" w:hanging="360"/>
      </w:pPr>
    </w:lvl>
    <w:lvl w:ilvl="8" w:tplc="080A001B" w:tentative="1">
      <w:start w:val="1"/>
      <w:numFmt w:val="lowerRoman"/>
      <w:lvlText w:val="%9."/>
      <w:lvlJc w:val="right"/>
      <w:pPr>
        <w:ind w:left="6530" w:hanging="180"/>
      </w:pPr>
    </w:lvl>
  </w:abstractNum>
  <w:abstractNum w:abstractNumId="20" w15:restartNumberingAfterBreak="0">
    <w:nsid w:val="3A081656"/>
    <w:multiLevelType w:val="hybridMultilevel"/>
    <w:tmpl w:val="12828A90"/>
    <w:lvl w:ilvl="0" w:tplc="080A000F">
      <w:start w:val="1"/>
      <w:numFmt w:val="decimal"/>
      <w:lvlText w:val="%1."/>
      <w:lvlJc w:val="left"/>
      <w:pPr>
        <w:ind w:left="770" w:hanging="360"/>
      </w:pPr>
    </w:lvl>
    <w:lvl w:ilvl="1" w:tplc="080A0019" w:tentative="1">
      <w:start w:val="1"/>
      <w:numFmt w:val="lowerLetter"/>
      <w:lvlText w:val="%2."/>
      <w:lvlJc w:val="left"/>
      <w:pPr>
        <w:ind w:left="1490" w:hanging="360"/>
      </w:pPr>
    </w:lvl>
    <w:lvl w:ilvl="2" w:tplc="080A001B" w:tentative="1">
      <w:start w:val="1"/>
      <w:numFmt w:val="lowerRoman"/>
      <w:lvlText w:val="%3."/>
      <w:lvlJc w:val="right"/>
      <w:pPr>
        <w:ind w:left="2210" w:hanging="180"/>
      </w:pPr>
    </w:lvl>
    <w:lvl w:ilvl="3" w:tplc="080A000F" w:tentative="1">
      <w:start w:val="1"/>
      <w:numFmt w:val="decimal"/>
      <w:lvlText w:val="%4."/>
      <w:lvlJc w:val="left"/>
      <w:pPr>
        <w:ind w:left="2930" w:hanging="360"/>
      </w:pPr>
    </w:lvl>
    <w:lvl w:ilvl="4" w:tplc="080A0019" w:tentative="1">
      <w:start w:val="1"/>
      <w:numFmt w:val="lowerLetter"/>
      <w:lvlText w:val="%5."/>
      <w:lvlJc w:val="left"/>
      <w:pPr>
        <w:ind w:left="3650" w:hanging="360"/>
      </w:pPr>
    </w:lvl>
    <w:lvl w:ilvl="5" w:tplc="080A001B" w:tentative="1">
      <w:start w:val="1"/>
      <w:numFmt w:val="lowerRoman"/>
      <w:lvlText w:val="%6."/>
      <w:lvlJc w:val="right"/>
      <w:pPr>
        <w:ind w:left="4370" w:hanging="180"/>
      </w:pPr>
    </w:lvl>
    <w:lvl w:ilvl="6" w:tplc="080A000F" w:tentative="1">
      <w:start w:val="1"/>
      <w:numFmt w:val="decimal"/>
      <w:lvlText w:val="%7."/>
      <w:lvlJc w:val="left"/>
      <w:pPr>
        <w:ind w:left="5090" w:hanging="360"/>
      </w:pPr>
    </w:lvl>
    <w:lvl w:ilvl="7" w:tplc="080A0019" w:tentative="1">
      <w:start w:val="1"/>
      <w:numFmt w:val="lowerLetter"/>
      <w:lvlText w:val="%8."/>
      <w:lvlJc w:val="left"/>
      <w:pPr>
        <w:ind w:left="5810" w:hanging="360"/>
      </w:pPr>
    </w:lvl>
    <w:lvl w:ilvl="8" w:tplc="080A001B" w:tentative="1">
      <w:start w:val="1"/>
      <w:numFmt w:val="lowerRoman"/>
      <w:lvlText w:val="%9."/>
      <w:lvlJc w:val="right"/>
      <w:pPr>
        <w:ind w:left="6530" w:hanging="180"/>
      </w:pPr>
    </w:lvl>
  </w:abstractNum>
  <w:abstractNum w:abstractNumId="21" w15:restartNumberingAfterBreak="0">
    <w:nsid w:val="3EC95C99"/>
    <w:multiLevelType w:val="hybridMultilevel"/>
    <w:tmpl w:val="56BE1D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27D6C11"/>
    <w:multiLevelType w:val="hybridMultilevel"/>
    <w:tmpl w:val="1416D042"/>
    <w:lvl w:ilvl="0" w:tplc="040A000F">
      <w:start w:val="1"/>
      <w:numFmt w:val="decimal"/>
      <w:lvlText w:val="%1."/>
      <w:lvlJc w:val="left"/>
      <w:pPr>
        <w:ind w:left="720" w:hanging="360"/>
      </w:pPr>
      <w:rPr>
        <w:rFont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3" w15:restartNumberingAfterBreak="0">
    <w:nsid w:val="4BB40F63"/>
    <w:multiLevelType w:val="multilevel"/>
    <w:tmpl w:val="EE7801DA"/>
    <w:lvl w:ilvl="0">
      <w:start w:val="1"/>
      <w:numFmt w:val="decimal"/>
      <w:lvlText w:val="%1."/>
      <w:lvlJc w:val="left"/>
      <w:pPr>
        <w:ind w:left="360" w:hanging="360"/>
      </w:pPr>
    </w:lvl>
    <w:lvl w:ilvl="1">
      <w:start w:val="1"/>
      <w:numFmt w:val="decimal"/>
      <w:lvlText w:val="5.%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DF21554"/>
    <w:multiLevelType w:val="hybridMultilevel"/>
    <w:tmpl w:val="E1E25E0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5" w15:restartNumberingAfterBreak="0">
    <w:nsid w:val="4FDC79E4"/>
    <w:multiLevelType w:val="hybridMultilevel"/>
    <w:tmpl w:val="F282EF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535B08B4"/>
    <w:multiLevelType w:val="multilevel"/>
    <w:tmpl w:val="5A96C5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64A1217"/>
    <w:multiLevelType w:val="hybridMultilevel"/>
    <w:tmpl w:val="4E1E3F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582600ED"/>
    <w:multiLevelType w:val="multilevel"/>
    <w:tmpl w:val="0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BC31518"/>
    <w:multiLevelType w:val="multilevel"/>
    <w:tmpl w:val="49DC06F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D666CF7"/>
    <w:multiLevelType w:val="multilevel"/>
    <w:tmpl w:val="09A2FB4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7FB5930"/>
    <w:multiLevelType w:val="multilevel"/>
    <w:tmpl w:val="72A47A78"/>
    <w:lvl w:ilvl="0">
      <w:start w:val="1"/>
      <w:numFmt w:val="decimal"/>
      <w:lvlText w:val="%1."/>
      <w:lvlJc w:val="left"/>
      <w:pPr>
        <w:ind w:left="360" w:hanging="360"/>
      </w:pPr>
    </w:lvl>
    <w:lvl w:ilvl="1">
      <w:start w:val="1"/>
      <w:numFmt w:val="decimal"/>
      <w:lvlText w:val="2.%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A7C70DE"/>
    <w:multiLevelType w:val="hybridMultilevel"/>
    <w:tmpl w:val="12828A90"/>
    <w:lvl w:ilvl="0" w:tplc="080A000F">
      <w:start w:val="1"/>
      <w:numFmt w:val="decimal"/>
      <w:lvlText w:val="%1."/>
      <w:lvlJc w:val="left"/>
      <w:pPr>
        <w:ind w:left="770" w:hanging="360"/>
      </w:pPr>
    </w:lvl>
    <w:lvl w:ilvl="1" w:tplc="080A0019" w:tentative="1">
      <w:start w:val="1"/>
      <w:numFmt w:val="lowerLetter"/>
      <w:lvlText w:val="%2."/>
      <w:lvlJc w:val="left"/>
      <w:pPr>
        <w:ind w:left="1490" w:hanging="360"/>
      </w:pPr>
    </w:lvl>
    <w:lvl w:ilvl="2" w:tplc="080A001B" w:tentative="1">
      <w:start w:val="1"/>
      <w:numFmt w:val="lowerRoman"/>
      <w:lvlText w:val="%3."/>
      <w:lvlJc w:val="right"/>
      <w:pPr>
        <w:ind w:left="2210" w:hanging="180"/>
      </w:pPr>
    </w:lvl>
    <w:lvl w:ilvl="3" w:tplc="080A000F" w:tentative="1">
      <w:start w:val="1"/>
      <w:numFmt w:val="decimal"/>
      <w:lvlText w:val="%4."/>
      <w:lvlJc w:val="left"/>
      <w:pPr>
        <w:ind w:left="2930" w:hanging="360"/>
      </w:pPr>
    </w:lvl>
    <w:lvl w:ilvl="4" w:tplc="080A0019" w:tentative="1">
      <w:start w:val="1"/>
      <w:numFmt w:val="lowerLetter"/>
      <w:lvlText w:val="%5."/>
      <w:lvlJc w:val="left"/>
      <w:pPr>
        <w:ind w:left="3650" w:hanging="360"/>
      </w:pPr>
    </w:lvl>
    <w:lvl w:ilvl="5" w:tplc="080A001B" w:tentative="1">
      <w:start w:val="1"/>
      <w:numFmt w:val="lowerRoman"/>
      <w:lvlText w:val="%6."/>
      <w:lvlJc w:val="right"/>
      <w:pPr>
        <w:ind w:left="4370" w:hanging="180"/>
      </w:pPr>
    </w:lvl>
    <w:lvl w:ilvl="6" w:tplc="080A000F" w:tentative="1">
      <w:start w:val="1"/>
      <w:numFmt w:val="decimal"/>
      <w:lvlText w:val="%7."/>
      <w:lvlJc w:val="left"/>
      <w:pPr>
        <w:ind w:left="5090" w:hanging="360"/>
      </w:pPr>
    </w:lvl>
    <w:lvl w:ilvl="7" w:tplc="080A0019" w:tentative="1">
      <w:start w:val="1"/>
      <w:numFmt w:val="lowerLetter"/>
      <w:lvlText w:val="%8."/>
      <w:lvlJc w:val="left"/>
      <w:pPr>
        <w:ind w:left="5810" w:hanging="360"/>
      </w:pPr>
    </w:lvl>
    <w:lvl w:ilvl="8" w:tplc="080A001B" w:tentative="1">
      <w:start w:val="1"/>
      <w:numFmt w:val="lowerRoman"/>
      <w:lvlText w:val="%9."/>
      <w:lvlJc w:val="right"/>
      <w:pPr>
        <w:ind w:left="6530" w:hanging="180"/>
      </w:pPr>
    </w:lvl>
  </w:abstractNum>
  <w:abstractNum w:abstractNumId="33" w15:restartNumberingAfterBreak="0">
    <w:nsid w:val="71B509A0"/>
    <w:multiLevelType w:val="hybridMultilevel"/>
    <w:tmpl w:val="12828A90"/>
    <w:lvl w:ilvl="0" w:tplc="080A000F">
      <w:start w:val="1"/>
      <w:numFmt w:val="decimal"/>
      <w:lvlText w:val="%1."/>
      <w:lvlJc w:val="left"/>
      <w:pPr>
        <w:ind w:left="770" w:hanging="360"/>
      </w:pPr>
    </w:lvl>
    <w:lvl w:ilvl="1" w:tplc="080A0019" w:tentative="1">
      <w:start w:val="1"/>
      <w:numFmt w:val="lowerLetter"/>
      <w:lvlText w:val="%2."/>
      <w:lvlJc w:val="left"/>
      <w:pPr>
        <w:ind w:left="1490" w:hanging="360"/>
      </w:pPr>
    </w:lvl>
    <w:lvl w:ilvl="2" w:tplc="080A001B" w:tentative="1">
      <w:start w:val="1"/>
      <w:numFmt w:val="lowerRoman"/>
      <w:lvlText w:val="%3."/>
      <w:lvlJc w:val="right"/>
      <w:pPr>
        <w:ind w:left="2210" w:hanging="180"/>
      </w:pPr>
    </w:lvl>
    <w:lvl w:ilvl="3" w:tplc="080A000F" w:tentative="1">
      <w:start w:val="1"/>
      <w:numFmt w:val="decimal"/>
      <w:lvlText w:val="%4."/>
      <w:lvlJc w:val="left"/>
      <w:pPr>
        <w:ind w:left="2930" w:hanging="360"/>
      </w:pPr>
    </w:lvl>
    <w:lvl w:ilvl="4" w:tplc="080A0019" w:tentative="1">
      <w:start w:val="1"/>
      <w:numFmt w:val="lowerLetter"/>
      <w:lvlText w:val="%5."/>
      <w:lvlJc w:val="left"/>
      <w:pPr>
        <w:ind w:left="3650" w:hanging="360"/>
      </w:pPr>
    </w:lvl>
    <w:lvl w:ilvl="5" w:tplc="080A001B" w:tentative="1">
      <w:start w:val="1"/>
      <w:numFmt w:val="lowerRoman"/>
      <w:lvlText w:val="%6."/>
      <w:lvlJc w:val="right"/>
      <w:pPr>
        <w:ind w:left="4370" w:hanging="180"/>
      </w:pPr>
    </w:lvl>
    <w:lvl w:ilvl="6" w:tplc="080A000F" w:tentative="1">
      <w:start w:val="1"/>
      <w:numFmt w:val="decimal"/>
      <w:lvlText w:val="%7."/>
      <w:lvlJc w:val="left"/>
      <w:pPr>
        <w:ind w:left="5090" w:hanging="360"/>
      </w:pPr>
    </w:lvl>
    <w:lvl w:ilvl="7" w:tplc="080A0019" w:tentative="1">
      <w:start w:val="1"/>
      <w:numFmt w:val="lowerLetter"/>
      <w:lvlText w:val="%8."/>
      <w:lvlJc w:val="left"/>
      <w:pPr>
        <w:ind w:left="5810" w:hanging="360"/>
      </w:pPr>
    </w:lvl>
    <w:lvl w:ilvl="8" w:tplc="080A001B" w:tentative="1">
      <w:start w:val="1"/>
      <w:numFmt w:val="lowerRoman"/>
      <w:lvlText w:val="%9."/>
      <w:lvlJc w:val="right"/>
      <w:pPr>
        <w:ind w:left="6530" w:hanging="180"/>
      </w:pPr>
    </w:lvl>
  </w:abstractNum>
  <w:num w:numId="1">
    <w:abstractNumId w:val="1"/>
  </w:num>
  <w:num w:numId="2">
    <w:abstractNumId w:val="12"/>
  </w:num>
  <w:num w:numId="3">
    <w:abstractNumId w:val="11"/>
  </w:num>
  <w:num w:numId="4">
    <w:abstractNumId w:val="24"/>
  </w:num>
  <w:num w:numId="5">
    <w:abstractNumId w:val="18"/>
  </w:num>
  <w:num w:numId="6">
    <w:abstractNumId w:val="16"/>
  </w:num>
  <w:num w:numId="7">
    <w:abstractNumId w:val="4"/>
  </w:num>
  <w:num w:numId="8">
    <w:abstractNumId w:val="5"/>
  </w:num>
  <w:num w:numId="9">
    <w:abstractNumId w:val="28"/>
  </w:num>
  <w:num w:numId="10">
    <w:abstractNumId w:val="10"/>
  </w:num>
  <w:num w:numId="11">
    <w:abstractNumId w:val="14"/>
  </w:num>
  <w:num w:numId="12">
    <w:abstractNumId w:val="25"/>
  </w:num>
  <w:num w:numId="13">
    <w:abstractNumId w:val="21"/>
  </w:num>
  <w:num w:numId="14">
    <w:abstractNumId w:val="32"/>
  </w:num>
  <w:num w:numId="15">
    <w:abstractNumId w:val="30"/>
  </w:num>
  <w:num w:numId="16">
    <w:abstractNumId w:val="29"/>
  </w:num>
  <w:num w:numId="17">
    <w:abstractNumId w:val="19"/>
  </w:num>
  <w:num w:numId="18">
    <w:abstractNumId w:val="26"/>
  </w:num>
  <w:num w:numId="19">
    <w:abstractNumId w:val="8"/>
  </w:num>
  <w:num w:numId="20">
    <w:abstractNumId w:val="7"/>
  </w:num>
  <w:num w:numId="21">
    <w:abstractNumId w:val="17"/>
  </w:num>
  <w:num w:numId="22">
    <w:abstractNumId w:val="9"/>
  </w:num>
  <w:num w:numId="23">
    <w:abstractNumId w:val="6"/>
  </w:num>
  <w:num w:numId="24">
    <w:abstractNumId w:val="31"/>
  </w:num>
  <w:num w:numId="25">
    <w:abstractNumId w:val="33"/>
  </w:num>
  <w:num w:numId="26">
    <w:abstractNumId w:val="3"/>
  </w:num>
  <w:num w:numId="27">
    <w:abstractNumId w:val="15"/>
  </w:num>
  <w:num w:numId="28">
    <w:abstractNumId w:val="23"/>
  </w:num>
  <w:num w:numId="29">
    <w:abstractNumId w:val="20"/>
  </w:num>
  <w:num w:numId="30">
    <w:abstractNumId w:val="2"/>
  </w:num>
  <w:num w:numId="31">
    <w:abstractNumId w:val="22"/>
  </w:num>
  <w:num w:numId="32">
    <w:abstractNumId w:val="0"/>
  </w:num>
  <w:num w:numId="33">
    <w:abstractNumId w:val="27"/>
  </w:num>
  <w:num w:numId="34">
    <w:abstractNumId w:val="1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357"/>
    <w:rsid w:val="0000796C"/>
    <w:rsid w:val="00013B12"/>
    <w:rsid w:val="00017BAE"/>
    <w:rsid w:val="00035C8D"/>
    <w:rsid w:val="00042A4C"/>
    <w:rsid w:val="000546E9"/>
    <w:rsid w:val="00066453"/>
    <w:rsid w:val="00074645"/>
    <w:rsid w:val="00080A6E"/>
    <w:rsid w:val="0008164F"/>
    <w:rsid w:val="00091CF8"/>
    <w:rsid w:val="000A0B3B"/>
    <w:rsid w:val="000A2648"/>
    <w:rsid w:val="000B212A"/>
    <w:rsid w:val="000B21DF"/>
    <w:rsid w:val="000C315D"/>
    <w:rsid w:val="000C3193"/>
    <w:rsid w:val="000D3657"/>
    <w:rsid w:val="000F1CD2"/>
    <w:rsid w:val="000F472F"/>
    <w:rsid w:val="0010333E"/>
    <w:rsid w:val="001226FE"/>
    <w:rsid w:val="00137C73"/>
    <w:rsid w:val="001408E1"/>
    <w:rsid w:val="00142A87"/>
    <w:rsid w:val="00152FD1"/>
    <w:rsid w:val="001622AE"/>
    <w:rsid w:val="001639CC"/>
    <w:rsid w:val="0017655F"/>
    <w:rsid w:val="00184CE6"/>
    <w:rsid w:val="001916D9"/>
    <w:rsid w:val="00192709"/>
    <w:rsid w:val="001B5C5F"/>
    <w:rsid w:val="001C6BE8"/>
    <w:rsid w:val="001E0121"/>
    <w:rsid w:val="001F4A76"/>
    <w:rsid w:val="00202C91"/>
    <w:rsid w:val="002044AF"/>
    <w:rsid w:val="00212DF7"/>
    <w:rsid w:val="00215949"/>
    <w:rsid w:val="0024067A"/>
    <w:rsid w:val="00245203"/>
    <w:rsid w:val="002470B8"/>
    <w:rsid w:val="00255602"/>
    <w:rsid w:val="00273629"/>
    <w:rsid w:val="00282184"/>
    <w:rsid w:val="002B67B7"/>
    <w:rsid w:val="002B784C"/>
    <w:rsid w:val="002C1DF7"/>
    <w:rsid w:val="002D6329"/>
    <w:rsid w:val="002E7D47"/>
    <w:rsid w:val="002F155B"/>
    <w:rsid w:val="002F7385"/>
    <w:rsid w:val="002F75F0"/>
    <w:rsid w:val="00300369"/>
    <w:rsid w:val="00320986"/>
    <w:rsid w:val="003250DC"/>
    <w:rsid w:val="00327770"/>
    <w:rsid w:val="00336ECE"/>
    <w:rsid w:val="003375D1"/>
    <w:rsid w:val="003577FB"/>
    <w:rsid w:val="00362F53"/>
    <w:rsid w:val="00366183"/>
    <w:rsid w:val="00367BD4"/>
    <w:rsid w:val="00383FF2"/>
    <w:rsid w:val="00387542"/>
    <w:rsid w:val="003912DB"/>
    <w:rsid w:val="003925C4"/>
    <w:rsid w:val="00397983"/>
    <w:rsid w:val="003A3B21"/>
    <w:rsid w:val="003A57A0"/>
    <w:rsid w:val="003B4E6C"/>
    <w:rsid w:val="003B57BF"/>
    <w:rsid w:val="003C04E4"/>
    <w:rsid w:val="003C0686"/>
    <w:rsid w:val="003C3757"/>
    <w:rsid w:val="003C53E8"/>
    <w:rsid w:val="003C709B"/>
    <w:rsid w:val="003D0DA8"/>
    <w:rsid w:val="003D1EE2"/>
    <w:rsid w:val="003E0501"/>
    <w:rsid w:val="003E5660"/>
    <w:rsid w:val="004054B5"/>
    <w:rsid w:val="004079D0"/>
    <w:rsid w:val="004369F5"/>
    <w:rsid w:val="00437B73"/>
    <w:rsid w:val="00474B82"/>
    <w:rsid w:val="00475941"/>
    <w:rsid w:val="00480440"/>
    <w:rsid w:val="004840AE"/>
    <w:rsid w:val="00491D74"/>
    <w:rsid w:val="00494E52"/>
    <w:rsid w:val="004A30A3"/>
    <w:rsid w:val="004B68E2"/>
    <w:rsid w:val="004B6BFD"/>
    <w:rsid w:val="004C29F1"/>
    <w:rsid w:val="004D5EEA"/>
    <w:rsid w:val="00542709"/>
    <w:rsid w:val="0054779C"/>
    <w:rsid w:val="005520F0"/>
    <w:rsid w:val="00552574"/>
    <w:rsid w:val="0055769F"/>
    <w:rsid w:val="00564E3F"/>
    <w:rsid w:val="005708D6"/>
    <w:rsid w:val="00575F55"/>
    <w:rsid w:val="005904F0"/>
    <w:rsid w:val="005924E3"/>
    <w:rsid w:val="00592E17"/>
    <w:rsid w:val="00597B12"/>
    <w:rsid w:val="005A0F6E"/>
    <w:rsid w:val="005A242A"/>
    <w:rsid w:val="005A2A4F"/>
    <w:rsid w:val="005A4A11"/>
    <w:rsid w:val="005A7014"/>
    <w:rsid w:val="005B0BB9"/>
    <w:rsid w:val="005C2A5C"/>
    <w:rsid w:val="005D0F3F"/>
    <w:rsid w:val="005E3231"/>
    <w:rsid w:val="005E5A2A"/>
    <w:rsid w:val="005F07AA"/>
    <w:rsid w:val="0060462D"/>
    <w:rsid w:val="00623A69"/>
    <w:rsid w:val="00643927"/>
    <w:rsid w:val="00646CCD"/>
    <w:rsid w:val="0064710F"/>
    <w:rsid w:val="00647410"/>
    <w:rsid w:val="00652282"/>
    <w:rsid w:val="006547DD"/>
    <w:rsid w:val="00666848"/>
    <w:rsid w:val="00670A25"/>
    <w:rsid w:val="00674513"/>
    <w:rsid w:val="00677FA9"/>
    <w:rsid w:val="0068683C"/>
    <w:rsid w:val="00692FB9"/>
    <w:rsid w:val="006A7670"/>
    <w:rsid w:val="006B3579"/>
    <w:rsid w:val="006C07E4"/>
    <w:rsid w:val="006C3FD4"/>
    <w:rsid w:val="006C6251"/>
    <w:rsid w:val="006C722A"/>
    <w:rsid w:val="006E6438"/>
    <w:rsid w:val="006E7846"/>
    <w:rsid w:val="007014A4"/>
    <w:rsid w:val="007043C2"/>
    <w:rsid w:val="00710739"/>
    <w:rsid w:val="00717983"/>
    <w:rsid w:val="00717E3A"/>
    <w:rsid w:val="007335DB"/>
    <w:rsid w:val="00741645"/>
    <w:rsid w:val="0074778D"/>
    <w:rsid w:val="00751E54"/>
    <w:rsid w:val="007648EE"/>
    <w:rsid w:val="00767947"/>
    <w:rsid w:val="00776F07"/>
    <w:rsid w:val="00777D24"/>
    <w:rsid w:val="00793617"/>
    <w:rsid w:val="00794203"/>
    <w:rsid w:val="00797777"/>
    <w:rsid w:val="007B1AB1"/>
    <w:rsid w:val="007B5687"/>
    <w:rsid w:val="007B6F8D"/>
    <w:rsid w:val="007C0694"/>
    <w:rsid w:val="007C0B86"/>
    <w:rsid w:val="007D4D91"/>
    <w:rsid w:val="007E4BF9"/>
    <w:rsid w:val="007F1672"/>
    <w:rsid w:val="007F5497"/>
    <w:rsid w:val="00811C1D"/>
    <w:rsid w:val="008170F0"/>
    <w:rsid w:val="00827F0F"/>
    <w:rsid w:val="008440A4"/>
    <w:rsid w:val="00860497"/>
    <w:rsid w:val="008840AB"/>
    <w:rsid w:val="00887075"/>
    <w:rsid w:val="0089195A"/>
    <w:rsid w:val="008A7753"/>
    <w:rsid w:val="008B1EAC"/>
    <w:rsid w:val="008B5F1E"/>
    <w:rsid w:val="008D1305"/>
    <w:rsid w:val="008D159A"/>
    <w:rsid w:val="008D1DB0"/>
    <w:rsid w:val="008D44C3"/>
    <w:rsid w:val="009120F6"/>
    <w:rsid w:val="00916C23"/>
    <w:rsid w:val="0091792D"/>
    <w:rsid w:val="00931AA0"/>
    <w:rsid w:val="00940CBA"/>
    <w:rsid w:val="009640A0"/>
    <w:rsid w:val="0097713D"/>
    <w:rsid w:val="009906FC"/>
    <w:rsid w:val="009974EE"/>
    <w:rsid w:val="00997DA9"/>
    <w:rsid w:val="009A0709"/>
    <w:rsid w:val="009B7BDB"/>
    <w:rsid w:val="009C6D91"/>
    <w:rsid w:val="009D7771"/>
    <w:rsid w:val="009E58E8"/>
    <w:rsid w:val="009F5357"/>
    <w:rsid w:val="00A04685"/>
    <w:rsid w:val="00A122E3"/>
    <w:rsid w:val="00A15A8B"/>
    <w:rsid w:val="00A15CC1"/>
    <w:rsid w:val="00A211E8"/>
    <w:rsid w:val="00A41D3E"/>
    <w:rsid w:val="00A45D16"/>
    <w:rsid w:val="00A46C1F"/>
    <w:rsid w:val="00A6785B"/>
    <w:rsid w:val="00A7501A"/>
    <w:rsid w:val="00A93180"/>
    <w:rsid w:val="00AB73B9"/>
    <w:rsid w:val="00AC07A8"/>
    <w:rsid w:val="00AC6329"/>
    <w:rsid w:val="00AD6778"/>
    <w:rsid w:val="00AE7B63"/>
    <w:rsid w:val="00AF4F26"/>
    <w:rsid w:val="00AF69FA"/>
    <w:rsid w:val="00B015A8"/>
    <w:rsid w:val="00B17ECC"/>
    <w:rsid w:val="00B24A2D"/>
    <w:rsid w:val="00B24F17"/>
    <w:rsid w:val="00B250A5"/>
    <w:rsid w:val="00B25E84"/>
    <w:rsid w:val="00B3239B"/>
    <w:rsid w:val="00B329F7"/>
    <w:rsid w:val="00B3710C"/>
    <w:rsid w:val="00B37D60"/>
    <w:rsid w:val="00B5426D"/>
    <w:rsid w:val="00B70AF2"/>
    <w:rsid w:val="00B83B89"/>
    <w:rsid w:val="00BA29B1"/>
    <w:rsid w:val="00BA63F8"/>
    <w:rsid w:val="00BB08F8"/>
    <w:rsid w:val="00BC186F"/>
    <w:rsid w:val="00BC3D51"/>
    <w:rsid w:val="00BC6CC0"/>
    <w:rsid w:val="00BD5114"/>
    <w:rsid w:val="00BE22B9"/>
    <w:rsid w:val="00BF520B"/>
    <w:rsid w:val="00C13064"/>
    <w:rsid w:val="00C14CA7"/>
    <w:rsid w:val="00C251BA"/>
    <w:rsid w:val="00C30509"/>
    <w:rsid w:val="00C31644"/>
    <w:rsid w:val="00C32663"/>
    <w:rsid w:val="00C33EAC"/>
    <w:rsid w:val="00C340EB"/>
    <w:rsid w:val="00C404C3"/>
    <w:rsid w:val="00C62615"/>
    <w:rsid w:val="00C90A16"/>
    <w:rsid w:val="00C924AE"/>
    <w:rsid w:val="00C947BF"/>
    <w:rsid w:val="00C95C27"/>
    <w:rsid w:val="00CA1BF2"/>
    <w:rsid w:val="00CB0FC2"/>
    <w:rsid w:val="00CB2C4C"/>
    <w:rsid w:val="00CB5AA6"/>
    <w:rsid w:val="00CC2FF1"/>
    <w:rsid w:val="00CD728B"/>
    <w:rsid w:val="00CE1D73"/>
    <w:rsid w:val="00CE28A8"/>
    <w:rsid w:val="00CF1925"/>
    <w:rsid w:val="00CF5DA3"/>
    <w:rsid w:val="00CF73AA"/>
    <w:rsid w:val="00CF78B3"/>
    <w:rsid w:val="00D05BB1"/>
    <w:rsid w:val="00D1123D"/>
    <w:rsid w:val="00D2376D"/>
    <w:rsid w:val="00D27DFC"/>
    <w:rsid w:val="00D305A0"/>
    <w:rsid w:val="00D31530"/>
    <w:rsid w:val="00D3160C"/>
    <w:rsid w:val="00D31CA3"/>
    <w:rsid w:val="00D37E9B"/>
    <w:rsid w:val="00D4196C"/>
    <w:rsid w:val="00D47730"/>
    <w:rsid w:val="00D50026"/>
    <w:rsid w:val="00D5297A"/>
    <w:rsid w:val="00D52E0A"/>
    <w:rsid w:val="00D629F1"/>
    <w:rsid w:val="00D81A9F"/>
    <w:rsid w:val="00D85F52"/>
    <w:rsid w:val="00DB6C5B"/>
    <w:rsid w:val="00DC0BD5"/>
    <w:rsid w:val="00DD5942"/>
    <w:rsid w:val="00DD73B8"/>
    <w:rsid w:val="00E24726"/>
    <w:rsid w:val="00E260A3"/>
    <w:rsid w:val="00E34260"/>
    <w:rsid w:val="00E43618"/>
    <w:rsid w:val="00E44C8A"/>
    <w:rsid w:val="00E53FC4"/>
    <w:rsid w:val="00E5482B"/>
    <w:rsid w:val="00E71800"/>
    <w:rsid w:val="00E724ED"/>
    <w:rsid w:val="00E75512"/>
    <w:rsid w:val="00E77D5B"/>
    <w:rsid w:val="00E93E36"/>
    <w:rsid w:val="00E9434A"/>
    <w:rsid w:val="00E95875"/>
    <w:rsid w:val="00E96B94"/>
    <w:rsid w:val="00EA3DD2"/>
    <w:rsid w:val="00EE265F"/>
    <w:rsid w:val="00EE5F08"/>
    <w:rsid w:val="00EF3247"/>
    <w:rsid w:val="00F01035"/>
    <w:rsid w:val="00F03EAA"/>
    <w:rsid w:val="00F0452A"/>
    <w:rsid w:val="00F10F77"/>
    <w:rsid w:val="00F14A7E"/>
    <w:rsid w:val="00F21221"/>
    <w:rsid w:val="00F2541A"/>
    <w:rsid w:val="00F27818"/>
    <w:rsid w:val="00F33EBF"/>
    <w:rsid w:val="00F34ED5"/>
    <w:rsid w:val="00F35FA2"/>
    <w:rsid w:val="00F375CD"/>
    <w:rsid w:val="00F52CAA"/>
    <w:rsid w:val="00F648E2"/>
    <w:rsid w:val="00F65F50"/>
    <w:rsid w:val="00FC7B59"/>
    <w:rsid w:val="00FE2167"/>
    <w:rsid w:val="00FE32E5"/>
    <w:rsid w:val="00FE7111"/>
    <w:rsid w:val="00FF3005"/>
    <w:rsid w:val="00FF42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C3C05B7-3F21-4602-8E98-E314C1D41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ES_tradnl"/>
    </w:rPr>
  </w:style>
  <w:style w:type="paragraph" w:styleId="Ttulo1">
    <w:name w:val="heading 1"/>
    <w:basedOn w:val="Normal"/>
    <w:next w:val="Normal"/>
    <w:link w:val="Ttulo1Car"/>
    <w:uiPriority w:val="9"/>
    <w:qFormat/>
    <w:rsid w:val="0064710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64710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64710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70AF2"/>
    <w:pPr>
      <w:ind w:left="720"/>
      <w:contextualSpacing/>
    </w:pPr>
    <w:rPr>
      <w:lang w:val="es-ES"/>
    </w:rPr>
  </w:style>
  <w:style w:type="paragraph" w:styleId="Textonotapie">
    <w:name w:val="footnote text"/>
    <w:basedOn w:val="Normal"/>
    <w:link w:val="TextonotapieCar"/>
    <w:uiPriority w:val="99"/>
    <w:semiHidden/>
    <w:unhideWhenUsed/>
    <w:rsid w:val="00F0452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0452A"/>
    <w:rPr>
      <w:sz w:val="20"/>
      <w:szCs w:val="20"/>
    </w:rPr>
  </w:style>
  <w:style w:type="character" w:styleId="Refdenotaalpie">
    <w:name w:val="footnote reference"/>
    <w:basedOn w:val="Fuentedeprrafopredeter"/>
    <w:uiPriority w:val="99"/>
    <w:semiHidden/>
    <w:unhideWhenUsed/>
    <w:rsid w:val="00F0452A"/>
    <w:rPr>
      <w:vertAlign w:val="superscript"/>
    </w:rPr>
  </w:style>
  <w:style w:type="character" w:styleId="Refdecomentario">
    <w:name w:val="annotation reference"/>
    <w:basedOn w:val="Fuentedeprrafopredeter"/>
    <w:uiPriority w:val="99"/>
    <w:semiHidden/>
    <w:unhideWhenUsed/>
    <w:rsid w:val="00300369"/>
    <w:rPr>
      <w:sz w:val="16"/>
      <w:szCs w:val="16"/>
    </w:rPr>
  </w:style>
  <w:style w:type="paragraph" w:styleId="Textocomentario">
    <w:name w:val="annotation text"/>
    <w:basedOn w:val="Normal"/>
    <w:link w:val="TextocomentarioCar"/>
    <w:uiPriority w:val="99"/>
    <w:semiHidden/>
    <w:unhideWhenUsed/>
    <w:rsid w:val="0030036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00369"/>
    <w:rPr>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300369"/>
    <w:rPr>
      <w:b/>
      <w:bCs/>
    </w:rPr>
  </w:style>
  <w:style w:type="character" w:customStyle="1" w:styleId="AsuntodelcomentarioCar">
    <w:name w:val="Asunto del comentario Car"/>
    <w:basedOn w:val="TextocomentarioCar"/>
    <w:link w:val="Asuntodelcomentario"/>
    <w:uiPriority w:val="99"/>
    <w:semiHidden/>
    <w:rsid w:val="00300369"/>
    <w:rPr>
      <w:b/>
      <w:bCs/>
      <w:sz w:val="20"/>
      <w:szCs w:val="20"/>
      <w:lang w:val="es-ES_tradnl"/>
    </w:rPr>
  </w:style>
  <w:style w:type="paragraph" w:styleId="Textodeglobo">
    <w:name w:val="Balloon Text"/>
    <w:basedOn w:val="Normal"/>
    <w:link w:val="TextodegloboCar"/>
    <w:uiPriority w:val="99"/>
    <w:semiHidden/>
    <w:unhideWhenUsed/>
    <w:rsid w:val="0030036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00369"/>
    <w:rPr>
      <w:rFonts w:ascii="Segoe UI" w:hAnsi="Segoe UI" w:cs="Segoe UI"/>
      <w:sz w:val="18"/>
      <w:szCs w:val="18"/>
      <w:lang w:val="es-ES_tradnl"/>
    </w:rPr>
  </w:style>
  <w:style w:type="character" w:styleId="Hipervnculo">
    <w:name w:val="Hyperlink"/>
    <w:basedOn w:val="Fuentedeprrafopredeter"/>
    <w:uiPriority w:val="99"/>
    <w:unhideWhenUsed/>
    <w:rsid w:val="003A3B21"/>
    <w:rPr>
      <w:color w:val="0563C1" w:themeColor="hyperlink"/>
      <w:u w:val="single"/>
    </w:rPr>
  </w:style>
  <w:style w:type="table" w:styleId="Tablaconcuadrcula">
    <w:name w:val="Table Grid"/>
    <w:basedOn w:val="Tablanormal"/>
    <w:uiPriority w:val="39"/>
    <w:rsid w:val="00F375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6E643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E6438"/>
    <w:rPr>
      <w:lang w:val="es-ES_tradnl"/>
    </w:rPr>
  </w:style>
  <w:style w:type="paragraph" w:styleId="Piedepgina">
    <w:name w:val="footer"/>
    <w:basedOn w:val="Normal"/>
    <w:link w:val="PiedepginaCar"/>
    <w:uiPriority w:val="99"/>
    <w:unhideWhenUsed/>
    <w:rsid w:val="006E643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E6438"/>
    <w:rPr>
      <w:lang w:val="es-ES_tradnl"/>
    </w:rPr>
  </w:style>
  <w:style w:type="character" w:customStyle="1" w:styleId="Ttulo1Car">
    <w:name w:val="Título 1 Car"/>
    <w:basedOn w:val="Fuentedeprrafopredeter"/>
    <w:link w:val="Ttulo1"/>
    <w:uiPriority w:val="9"/>
    <w:rsid w:val="0064710F"/>
    <w:rPr>
      <w:rFonts w:asciiTheme="majorHAnsi" w:eastAsiaTheme="majorEastAsia" w:hAnsiTheme="majorHAnsi" w:cstheme="majorBidi"/>
      <w:color w:val="2E74B5" w:themeColor="accent1" w:themeShade="BF"/>
      <w:sz w:val="32"/>
      <w:szCs w:val="32"/>
      <w:lang w:val="es-ES_tradnl"/>
    </w:rPr>
  </w:style>
  <w:style w:type="character" w:customStyle="1" w:styleId="Ttulo2Car">
    <w:name w:val="Título 2 Car"/>
    <w:basedOn w:val="Fuentedeprrafopredeter"/>
    <w:link w:val="Ttulo2"/>
    <w:uiPriority w:val="9"/>
    <w:rsid w:val="0064710F"/>
    <w:rPr>
      <w:rFonts w:asciiTheme="majorHAnsi" w:eastAsiaTheme="majorEastAsia" w:hAnsiTheme="majorHAnsi" w:cstheme="majorBidi"/>
      <w:color w:val="2E74B5" w:themeColor="accent1" w:themeShade="BF"/>
      <w:sz w:val="26"/>
      <w:szCs w:val="26"/>
      <w:lang w:val="es-ES_tradnl"/>
    </w:rPr>
  </w:style>
  <w:style w:type="character" w:customStyle="1" w:styleId="Ttulo3Car">
    <w:name w:val="Título 3 Car"/>
    <w:basedOn w:val="Fuentedeprrafopredeter"/>
    <w:link w:val="Ttulo3"/>
    <w:uiPriority w:val="9"/>
    <w:rsid w:val="0064710F"/>
    <w:rPr>
      <w:rFonts w:asciiTheme="majorHAnsi" w:eastAsiaTheme="majorEastAsia" w:hAnsiTheme="majorHAnsi" w:cstheme="majorBidi"/>
      <w:color w:val="1F4D78" w:themeColor="accent1" w:themeShade="7F"/>
      <w:sz w:val="24"/>
      <w:szCs w:val="24"/>
      <w:lang w:val="es-ES_tradnl"/>
    </w:rPr>
  </w:style>
  <w:style w:type="paragraph" w:styleId="TtulodeTDC">
    <w:name w:val="TOC Heading"/>
    <w:basedOn w:val="Ttulo1"/>
    <w:next w:val="Normal"/>
    <w:uiPriority w:val="39"/>
    <w:unhideWhenUsed/>
    <w:qFormat/>
    <w:rsid w:val="00AF69FA"/>
    <w:pPr>
      <w:outlineLvl w:val="9"/>
    </w:pPr>
    <w:rPr>
      <w:lang w:val="es-MX" w:eastAsia="es-MX"/>
    </w:rPr>
  </w:style>
  <w:style w:type="paragraph" w:styleId="TDC2">
    <w:name w:val="toc 2"/>
    <w:basedOn w:val="Normal"/>
    <w:next w:val="Normal"/>
    <w:autoRedefine/>
    <w:uiPriority w:val="39"/>
    <w:unhideWhenUsed/>
    <w:rsid w:val="00AF69FA"/>
    <w:pPr>
      <w:spacing w:after="100"/>
      <w:ind w:left="220"/>
    </w:pPr>
    <w:rPr>
      <w:rFonts w:eastAsiaTheme="minorEastAsia" w:cs="Times New Roman"/>
      <w:lang w:val="es-MX" w:eastAsia="es-MX"/>
    </w:rPr>
  </w:style>
  <w:style w:type="paragraph" w:styleId="TDC1">
    <w:name w:val="toc 1"/>
    <w:basedOn w:val="Normal"/>
    <w:next w:val="Normal"/>
    <w:autoRedefine/>
    <w:uiPriority w:val="39"/>
    <w:unhideWhenUsed/>
    <w:rsid w:val="00AF69FA"/>
    <w:pPr>
      <w:spacing w:after="100"/>
    </w:pPr>
    <w:rPr>
      <w:rFonts w:eastAsiaTheme="minorEastAsia" w:cs="Times New Roman"/>
      <w:lang w:val="es-MX" w:eastAsia="es-MX"/>
    </w:rPr>
  </w:style>
  <w:style w:type="paragraph" w:styleId="TDC3">
    <w:name w:val="toc 3"/>
    <w:basedOn w:val="Normal"/>
    <w:next w:val="Normal"/>
    <w:autoRedefine/>
    <w:uiPriority w:val="39"/>
    <w:unhideWhenUsed/>
    <w:rsid w:val="00AF69FA"/>
    <w:pPr>
      <w:spacing w:after="100"/>
      <w:ind w:left="440"/>
    </w:pPr>
    <w:rPr>
      <w:rFonts w:eastAsiaTheme="minorEastAsia" w:cs="Times New Roman"/>
      <w:lang w:val="es-MX" w:eastAsia="es-MX"/>
    </w:rPr>
  </w:style>
  <w:style w:type="paragraph" w:styleId="TDC4">
    <w:name w:val="toc 4"/>
    <w:basedOn w:val="Normal"/>
    <w:next w:val="Normal"/>
    <w:autoRedefine/>
    <w:uiPriority w:val="39"/>
    <w:unhideWhenUsed/>
    <w:rsid w:val="00CF5DA3"/>
    <w:pPr>
      <w:spacing w:after="100"/>
      <w:ind w:left="660"/>
    </w:pPr>
    <w:rPr>
      <w:rFonts w:eastAsiaTheme="minorEastAsia"/>
      <w:lang w:val="es-MX" w:eastAsia="es-MX"/>
    </w:rPr>
  </w:style>
  <w:style w:type="paragraph" w:styleId="TDC5">
    <w:name w:val="toc 5"/>
    <w:basedOn w:val="Normal"/>
    <w:next w:val="Normal"/>
    <w:autoRedefine/>
    <w:uiPriority w:val="39"/>
    <w:unhideWhenUsed/>
    <w:rsid w:val="00CF5DA3"/>
    <w:pPr>
      <w:spacing w:after="100"/>
      <w:ind w:left="880"/>
    </w:pPr>
    <w:rPr>
      <w:rFonts w:eastAsiaTheme="minorEastAsia"/>
      <w:lang w:val="es-MX" w:eastAsia="es-MX"/>
    </w:rPr>
  </w:style>
  <w:style w:type="paragraph" w:styleId="TDC6">
    <w:name w:val="toc 6"/>
    <w:basedOn w:val="Normal"/>
    <w:next w:val="Normal"/>
    <w:autoRedefine/>
    <w:uiPriority w:val="39"/>
    <w:unhideWhenUsed/>
    <w:rsid w:val="00CF5DA3"/>
    <w:pPr>
      <w:spacing w:after="100"/>
      <w:ind w:left="1100"/>
    </w:pPr>
    <w:rPr>
      <w:rFonts w:eastAsiaTheme="minorEastAsia"/>
      <w:lang w:val="es-MX" w:eastAsia="es-MX"/>
    </w:rPr>
  </w:style>
  <w:style w:type="paragraph" w:styleId="TDC7">
    <w:name w:val="toc 7"/>
    <w:basedOn w:val="Normal"/>
    <w:next w:val="Normal"/>
    <w:autoRedefine/>
    <w:uiPriority w:val="39"/>
    <w:unhideWhenUsed/>
    <w:rsid w:val="00CF5DA3"/>
    <w:pPr>
      <w:spacing w:after="100"/>
      <w:ind w:left="1320"/>
    </w:pPr>
    <w:rPr>
      <w:rFonts w:eastAsiaTheme="minorEastAsia"/>
      <w:lang w:val="es-MX" w:eastAsia="es-MX"/>
    </w:rPr>
  </w:style>
  <w:style w:type="paragraph" w:styleId="TDC8">
    <w:name w:val="toc 8"/>
    <w:basedOn w:val="Normal"/>
    <w:next w:val="Normal"/>
    <w:autoRedefine/>
    <w:uiPriority w:val="39"/>
    <w:unhideWhenUsed/>
    <w:rsid w:val="00CF5DA3"/>
    <w:pPr>
      <w:spacing w:after="100"/>
      <w:ind w:left="1540"/>
    </w:pPr>
    <w:rPr>
      <w:rFonts w:eastAsiaTheme="minorEastAsia"/>
      <w:lang w:val="es-MX" w:eastAsia="es-MX"/>
    </w:rPr>
  </w:style>
  <w:style w:type="paragraph" w:styleId="TDC9">
    <w:name w:val="toc 9"/>
    <w:basedOn w:val="Normal"/>
    <w:next w:val="Normal"/>
    <w:autoRedefine/>
    <w:uiPriority w:val="39"/>
    <w:unhideWhenUsed/>
    <w:rsid w:val="00CF5DA3"/>
    <w:pPr>
      <w:spacing w:after="100"/>
      <w:ind w:left="1760"/>
    </w:pPr>
    <w:rPr>
      <w:rFonts w:eastAsiaTheme="minorEastAsia"/>
      <w:lang w:val="es-MX" w:eastAsia="es-MX"/>
    </w:rPr>
  </w:style>
  <w:style w:type="paragraph" w:styleId="Revisin">
    <w:name w:val="Revision"/>
    <w:hidden/>
    <w:uiPriority w:val="99"/>
    <w:semiHidden/>
    <w:rsid w:val="009D7771"/>
    <w:pPr>
      <w:spacing w:after="0" w:line="240" w:lineRule="auto"/>
    </w:pPr>
    <w:rPr>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797884">
      <w:bodyDiv w:val="1"/>
      <w:marLeft w:val="0"/>
      <w:marRight w:val="0"/>
      <w:marTop w:val="0"/>
      <w:marBottom w:val="0"/>
      <w:divBdr>
        <w:top w:val="none" w:sz="0" w:space="0" w:color="auto"/>
        <w:left w:val="none" w:sz="0" w:space="0" w:color="auto"/>
        <w:bottom w:val="none" w:sz="0" w:space="0" w:color="auto"/>
        <w:right w:val="none" w:sz="0" w:space="0" w:color="auto"/>
      </w:divBdr>
    </w:div>
    <w:div w:id="311520382">
      <w:bodyDiv w:val="1"/>
      <w:marLeft w:val="0"/>
      <w:marRight w:val="0"/>
      <w:marTop w:val="0"/>
      <w:marBottom w:val="0"/>
      <w:divBdr>
        <w:top w:val="none" w:sz="0" w:space="0" w:color="auto"/>
        <w:left w:val="none" w:sz="0" w:space="0" w:color="auto"/>
        <w:bottom w:val="none" w:sz="0" w:space="0" w:color="auto"/>
        <w:right w:val="none" w:sz="0" w:space="0" w:color="auto"/>
      </w:divBdr>
    </w:div>
    <w:div w:id="314997162">
      <w:bodyDiv w:val="1"/>
      <w:marLeft w:val="0"/>
      <w:marRight w:val="0"/>
      <w:marTop w:val="0"/>
      <w:marBottom w:val="0"/>
      <w:divBdr>
        <w:top w:val="none" w:sz="0" w:space="0" w:color="auto"/>
        <w:left w:val="none" w:sz="0" w:space="0" w:color="auto"/>
        <w:bottom w:val="none" w:sz="0" w:space="0" w:color="auto"/>
        <w:right w:val="none" w:sz="0" w:space="0" w:color="auto"/>
      </w:divBdr>
    </w:div>
    <w:div w:id="329647075">
      <w:bodyDiv w:val="1"/>
      <w:marLeft w:val="0"/>
      <w:marRight w:val="0"/>
      <w:marTop w:val="0"/>
      <w:marBottom w:val="0"/>
      <w:divBdr>
        <w:top w:val="none" w:sz="0" w:space="0" w:color="auto"/>
        <w:left w:val="none" w:sz="0" w:space="0" w:color="auto"/>
        <w:bottom w:val="none" w:sz="0" w:space="0" w:color="auto"/>
        <w:right w:val="none" w:sz="0" w:space="0" w:color="auto"/>
      </w:divBdr>
    </w:div>
    <w:div w:id="405692997">
      <w:bodyDiv w:val="1"/>
      <w:marLeft w:val="0"/>
      <w:marRight w:val="0"/>
      <w:marTop w:val="0"/>
      <w:marBottom w:val="0"/>
      <w:divBdr>
        <w:top w:val="none" w:sz="0" w:space="0" w:color="auto"/>
        <w:left w:val="none" w:sz="0" w:space="0" w:color="auto"/>
        <w:bottom w:val="none" w:sz="0" w:space="0" w:color="auto"/>
        <w:right w:val="none" w:sz="0" w:space="0" w:color="auto"/>
      </w:divBdr>
    </w:div>
    <w:div w:id="448356953">
      <w:bodyDiv w:val="1"/>
      <w:marLeft w:val="0"/>
      <w:marRight w:val="0"/>
      <w:marTop w:val="0"/>
      <w:marBottom w:val="0"/>
      <w:divBdr>
        <w:top w:val="none" w:sz="0" w:space="0" w:color="auto"/>
        <w:left w:val="none" w:sz="0" w:space="0" w:color="auto"/>
        <w:bottom w:val="none" w:sz="0" w:space="0" w:color="auto"/>
        <w:right w:val="none" w:sz="0" w:space="0" w:color="auto"/>
      </w:divBdr>
    </w:div>
    <w:div w:id="523908226">
      <w:bodyDiv w:val="1"/>
      <w:marLeft w:val="0"/>
      <w:marRight w:val="0"/>
      <w:marTop w:val="0"/>
      <w:marBottom w:val="0"/>
      <w:divBdr>
        <w:top w:val="none" w:sz="0" w:space="0" w:color="auto"/>
        <w:left w:val="none" w:sz="0" w:space="0" w:color="auto"/>
        <w:bottom w:val="none" w:sz="0" w:space="0" w:color="auto"/>
        <w:right w:val="none" w:sz="0" w:space="0" w:color="auto"/>
      </w:divBdr>
    </w:div>
    <w:div w:id="536167213">
      <w:bodyDiv w:val="1"/>
      <w:marLeft w:val="0"/>
      <w:marRight w:val="0"/>
      <w:marTop w:val="0"/>
      <w:marBottom w:val="0"/>
      <w:divBdr>
        <w:top w:val="none" w:sz="0" w:space="0" w:color="auto"/>
        <w:left w:val="none" w:sz="0" w:space="0" w:color="auto"/>
        <w:bottom w:val="none" w:sz="0" w:space="0" w:color="auto"/>
        <w:right w:val="none" w:sz="0" w:space="0" w:color="auto"/>
      </w:divBdr>
    </w:div>
    <w:div w:id="741755777">
      <w:bodyDiv w:val="1"/>
      <w:marLeft w:val="0"/>
      <w:marRight w:val="0"/>
      <w:marTop w:val="0"/>
      <w:marBottom w:val="0"/>
      <w:divBdr>
        <w:top w:val="none" w:sz="0" w:space="0" w:color="auto"/>
        <w:left w:val="none" w:sz="0" w:space="0" w:color="auto"/>
        <w:bottom w:val="none" w:sz="0" w:space="0" w:color="auto"/>
        <w:right w:val="none" w:sz="0" w:space="0" w:color="auto"/>
      </w:divBdr>
    </w:div>
    <w:div w:id="920607215">
      <w:bodyDiv w:val="1"/>
      <w:marLeft w:val="0"/>
      <w:marRight w:val="0"/>
      <w:marTop w:val="0"/>
      <w:marBottom w:val="0"/>
      <w:divBdr>
        <w:top w:val="none" w:sz="0" w:space="0" w:color="auto"/>
        <w:left w:val="none" w:sz="0" w:space="0" w:color="auto"/>
        <w:bottom w:val="none" w:sz="0" w:space="0" w:color="auto"/>
        <w:right w:val="none" w:sz="0" w:space="0" w:color="auto"/>
      </w:divBdr>
    </w:div>
    <w:div w:id="987588038">
      <w:bodyDiv w:val="1"/>
      <w:marLeft w:val="0"/>
      <w:marRight w:val="0"/>
      <w:marTop w:val="0"/>
      <w:marBottom w:val="0"/>
      <w:divBdr>
        <w:top w:val="none" w:sz="0" w:space="0" w:color="auto"/>
        <w:left w:val="none" w:sz="0" w:space="0" w:color="auto"/>
        <w:bottom w:val="none" w:sz="0" w:space="0" w:color="auto"/>
        <w:right w:val="none" w:sz="0" w:space="0" w:color="auto"/>
      </w:divBdr>
    </w:div>
    <w:div w:id="1113400729">
      <w:bodyDiv w:val="1"/>
      <w:marLeft w:val="0"/>
      <w:marRight w:val="0"/>
      <w:marTop w:val="0"/>
      <w:marBottom w:val="0"/>
      <w:divBdr>
        <w:top w:val="none" w:sz="0" w:space="0" w:color="auto"/>
        <w:left w:val="none" w:sz="0" w:space="0" w:color="auto"/>
        <w:bottom w:val="none" w:sz="0" w:space="0" w:color="auto"/>
        <w:right w:val="none" w:sz="0" w:space="0" w:color="auto"/>
      </w:divBdr>
    </w:div>
    <w:div w:id="1201284644">
      <w:bodyDiv w:val="1"/>
      <w:marLeft w:val="0"/>
      <w:marRight w:val="0"/>
      <w:marTop w:val="0"/>
      <w:marBottom w:val="0"/>
      <w:divBdr>
        <w:top w:val="none" w:sz="0" w:space="0" w:color="auto"/>
        <w:left w:val="none" w:sz="0" w:space="0" w:color="auto"/>
        <w:bottom w:val="none" w:sz="0" w:space="0" w:color="auto"/>
        <w:right w:val="none" w:sz="0" w:space="0" w:color="auto"/>
      </w:divBdr>
    </w:div>
    <w:div w:id="1433236566">
      <w:bodyDiv w:val="1"/>
      <w:marLeft w:val="0"/>
      <w:marRight w:val="0"/>
      <w:marTop w:val="0"/>
      <w:marBottom w:val="0"/>
      <w:divBdr>
        <w:top w:val="none" w:sz="0" w:space="0" w:color="auto"/>
        <w:left w:val="none" w:sz="0" w:space="0" w:color="auto"/>
        <w:bottom w:val="none" w:sz="0" w:space="0" w:color="auto"/>
        <w:right w:val="none" w:sz="0" w:space="0" w:color="auto"/>
      </w:divBdr>
    </w:div>
    <w:div w:id="1478689184">
      <w:bodyDiv w:val="1"/>
      <w:marLeft w:val="0"/>
      <w:marRight w:val="0"/>
      <w:marTop w:val="0"/>
      <w:marBottom w:val="0"/>
      <w:divBdr>
        <w:top w:val="none" w:sz="0" w:space="0" w:color="auto"/>
        <w:left w:val="none" w:sz="0" w:space="0" w:color="auto"/>
        <w:bottom w:val="none" w:sz="0" w:space="0" w:color="auto"/>
        <w:right w:val="none" w:sz="0" w:space="0" w:color="auto"/>
      </w:divBdr>
    </w:div>
    <w:div w:id="1490950021">
      <w:bodyDiv w:val="1"/>
      <w:marLeft w:val="0"/>
      <w:marRight w:val="0"/>
      <w:marTop w:val="0"/>
      <w:marBottom w:val="0"/>
      <w:divBdr>
        <w:top w:val="none" w:sz="0" w:space="0" w:color="auto"/>
        <w:left w:val="none" w:sz="0" w:space="0" w:color="auto"/>
        <w:bottom w:val="none" w:sz="0" w:space="0" w:color="auto"/>
        <w:right w:val="none" w:sz="0" w:space="0" w:color="auto"/>
      </w:divBdr>
    </w:div>
    <w:div w:id="1592277159">
      <w:bodyDiv w:val="1"/>
      <w:marLeft w:val="0"/>
      <w:marRight w:val="0"/>
      <w:marTop w:val="0"/>
      <w:marBottom w:val="0"/>
      <w:divBdr>
        <w:top w:val="none" w:sz="0" w:space="0" w:color="auto"/>
        <w:left w:val="none" w:sz="0" w:space="0" w:color="auto"/>
        <w:bottom w:val="none" w:sz="0" w:space="0" w:color="auto"/>
        <w:right w:val="none" w:sz="0" w:space="0" w:color="auto"/>
      </w:divBdr>
    </w:div>
    <w:div w:id="1647582653">
      <w:bodyDiv w:val="1"/>
      <w:marLeft w:val="0"/>
      <w:marRight w:val="0"/>
      <w:marTop w:val="0"/>
      <w:marBottom w:val="0"/>
      <w:divBdr>
        <w:top w:val="none" w:sz="0" w:space="0" w:color="auto"/>
        <w:left w:val="none" w:sz="0" w:space="0" w:color="auto"/>
        <w:bottom w:val="none" w:sz="0" w:space="0" w:color="auto"/>
        <w:right w:val="none" w:sz="0" w:space="0" w:color="auto"/>
      </w:divBdr>
    </w:div>
    <w:div w:id="1677221853">
      <w:bodyDiv w:val="1"/>
      <w:marLeft w:val="0"/>
      <w:marRight w:val="0"/>
      <w:marTop w:val="0"/>
      <w:marBottom w:val="0"/>
      <w:divBdr>
        <w:top w:val="none" w:sz="0" w:space="0" w:color="auto"/>
        <w:left w:val="none" w:sz="0" w:space="0" w:color="auto"/>
        <w:bottom w:val="none" w:sz="0" w:space="0" w:color="auto"/>
        <w:right w:val="none" w:sz="0" w:space="0" w:color="auto"/>
      </w:divBdr>
    </w:div>
    <w:div w:id="1737512613">
      <w:bodyDiv w:val="1"/>
      <w:marLeft w:val="0"/>
      <w:marRight w:val="0"/>
      <w:marTop w:val="0"/>
      <w:marBottom w:val="0"/>
      <w:divBdr>
        <w:top w:val="none" w:sz="0" w:space="0" w:color="auto"/>
        <w:left w:val="none" w:sz="0" w:space="0" w:color="auto"/>
        <w:bottom w:val="none" w:sz="0" w:space="0" w:color="auto"/>
        <w:right w:val="none" w:sz="0" w:space="0" w:color="auto"/>
      </w:divBdr>
    </w:div>
    <w:div w:id="2018650714">
      <w:bodyDiv w:val="1"/>
      <w:marLeft w:val="0"/>
      <w:marRight w:val="0"/>
      <w:marTop w:val="0"/>
      <w:marBottom w:val="0"/>
      <w:divBdr>
        <w:top w:val="none" w:sz="0" w:space="0" w:color="auto"/>
        <w:left w:val="none" w:sz="0" w:space="0" w:color="auto"/>
        <w:bottom w:val="none" w:sz="0" w:space="0" w:color="auto"/>
        <w:right w:val="none" w:sz="0" w:space="0" w:color="auto"/>
      </w:divBdr>
    </w:div>
    <w:div w:id="2091851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chart" Target="charts/chart4.xml"/><Relationship Id="rId26" Type="http://schemas.openxmlformats.org/officeDocument/2006/relationships/image" Target="media/image12.jpeg"/><Relationship Id="rId39" Type="http://schemas.openxmlformats.org/officeDocument/2006/relationships/chart" Target="charts/chart18.xml"/><Relationship Id="rId3" Type="http://schemas.openxmlformats.org/officeDocument/2006/relationships/styles" Target="styles.xml"/><Relationship Id="rId21" Type="http://schemas.openxmlformats.org/officeDocument/2006/relationships/chart" Target="charts/chart7.xml"/><Relationship Id="rId34" Type="http://schemas.openxmlformats.org/officeDocument/2006/relationships/chart" Target="charts/chart13.xml"/><Relationship Id="rId42" Type="http://schemas.openxmlformats.org/officeDocument/2006/relationships/image" Target="media/image17.jpeg"/><Relationship Id="rId47"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chart" Target="charts/chart3.xml"/><Relationship Id="rId25" Type="http://schemas.openxmlformats.org/officeDocument/2006/relationships/image" Target="media/image11.jpeg"/><Relationship Id="rId33" Type="http://schemas.openxmlformats.org/officeDocument/2006/relationships/chart" Target="charts/chart12.xml"/><Relationship Id="rId38" Type="http://schemas.openxmlformats.org/officeDocument/2006/relationships/chart" Target="charts/chart17.xml"/><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6.xml"/><Relationship Id="rId29" Type="http://schemas.openxmlformats.org/officeDocument/2006/relationships/chart" Target="charts/chart8.xml"/><Relationship Id="rId41"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0.jpeg"/><Relationship Id="rId32" Type="http://schemas.openxmlformats.org/officeDocument/2006/relationships/chart" Target="charts/chart11.xml"/><Relationship Id="rId37" Type="http://schemas.openxmlformats.org/officeDocument/2006/relationships/chart" Target="charts/chart16.xml"/><Relationship Id="rId40" Type="http://schemas.openxmlformats.org/officeDocument/2006/relationships/image" Target="media/image15.jpeg"/><Relationship Id="rId45" Type="http://schemas.openxmlformats.org/officeDocument/2006/relationships/image" Target="media/image20.jpeg"/><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image" Target="media/image9.jpeg"/><Relationship Id="rId28" Type="http://schemas.openxmlformats.org/officeDocument/2006/relationships/image" Target="media/image14.jpeg"/><Relationship Id="rId36" Type="http://schemas.openxmlformats.org/officeDocument/2006/relationships/chart" Target="charts/chart15.xml"/><Relationship Id="rId49"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chart" Target="charts/chart5.xml"/><Relationship Id="rId31" Type="http://schemas.openxmlformats.org/officeDocument/2006/relationships/chart" Target="charts/chart10.xml"/><Relationship Id="rId44" Type="http://schemas.openxmlformats.org/officeDocument/2006/relationships/image" Target="media/image19.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chart" Target="charts/chart9.xml"/><Relationship Id="rId35" Type="http://schemas.openxmlformats.org/officeDocument/2006/relationships/chart" Target="charts/chart14.xml"/><Relationship Id="rId43" Type="http://schemas.openxmlformats.org/officeDocument/2006/relationships/image" Target="media/image18.jpeg"/><Relationship Id="rId48" Type="http://schemas.openxmlformats.org/officeDocument/2006/relationships/fontTable" Target="fontTable.xml"/><Relationship Id="rId8" Type="http://schemas.openxmlformats.org/officeDocument/2006/relationships/image" Target="media/image1.jpeg"/></Relationships>
</file>

<file path=word/_rels/footer1.xml.rels><?xml version="1.0" encoding="UTF-8" standalone="yes"?>
<Relationships xmlns="http://schemas.openxmlformats.org/package/2006/relationships"><Relationship Id="rId1" Type="http://schemas.openxmlformats.org/officeDocument/2006/relationships/image" Target="media/image22.png"/></Relationships>
</file>

<file path=word/_rels/header1.xml.rels><?xml version="1.0" encoding="UTF-8" standalone="yes"?>
<Relationships xmlns="http://schemas.openxmlformats.org/package/2006/relationships"><Relationship Id="rId1" Type="http://schemas.openxmlformats.org/officeDocument/2006/relationships/image" Target="media/image21.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GEMM\Downloads\121%20FIDEI.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GEMM\Downloads\146%20legislativo.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fernanda.garrido\Documents\GR&#193;FICAS\IGOT.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fernanda.garrido\Documents\GR&#193;FICAS\121%20AUT&#211;NOMO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fernanda.garrido\Documents\GR&#193;FICAS\146%20AUT&#211;NOMOS.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GEMM\Desktop\tablas%20INFORME%20EV\5.%20Partidos%20Pol&#237;ticos\121%20ICP%20.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GEMM\Desktop\tablas%20INFORME%20EV\5.%20Partidos%20Pol&#237;ticos\129%20ICP%20.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GEMM\Desktop\tablas%20INFORME%20EV\5.%20Partidos%20Pol&#237;ticos\146%20ICP%20.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GEMM\Desktop\tablas%20INFORME%20EV\5.%20Partidos%20Pol&#237;ticos\147%20ICP%2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GEMM\Downloads\121%20FIDEI.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GEMM\Downloads\136%20FIDEI.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GEMM\Downloads\143%20FIDEI.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GEMM\Downloads\145%20FIDEI.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GEMM\Downloads\146%20FIDEI.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GEMM\Downloads\147%20FIDEI.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GEMM\Downloads\143%20legislativo.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GEMM\Downloads\143%20legislativo.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sz="1400" b="0" i="0" u="none" strike="noStrike" kern="1200" spc="0" baseline="0">
                <a:solidFill>
                  <a:sysClr val="windowText" lastClr="000000">
                    <a:lumMod val="65000"/>
                    <a:lumOff val="35000"/>
                  </a:sysClr>
                </a:solidFill>
                <a:latin typeface="+mn-lt"/>
                <a:ea typeface="+mn-ea"/>
                <a:cs typeface="+mn-cs"/>
              </a:rPr>
              <a:t>Artículo</a:t>
            </a:r>
            <a:r>
              <a:rPr lang="es-MX"/>
              <a:t> 121 ICP</a:t>
            </a:r>
          </a:p>
        </c:rich>
      </c:tx>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cat>
            <c:strRef>
              <c:f>Hoja1!$A$1:$A$16</c:f>
              <c:strCache>
                <c:ptCount val="16"/>
                <c:pt idx="0">
                  <c:v>Fid. para el Financiamiento del Transporte Público</c:v>
                </c:pt>
                <c:pt idx="1">
                  <c:v>Fid.Público Complejo Ambiental Xochimilco</c:v>
                </c:pt>
                <c:pt idx="2">
                  <c:v>Fid. para la Promoción y Desarrollo del Cine Mexicano</c:v>
                </c:pt>
                <c:pt idx="3">
                  <c:v>Fid. Público del Fondo de Apoyo a la Procuración de Justicia </c:v>
                </c:pt>
                <c:pt idx="4">
                  <c:v>Fon. para la Atención y Apoyo a las Víctimas del Delito</c:v>
                </c:pt>
                <c:pt idx="5">
                  <c:v>Fid. Fondo para el Desarrollo Económico y Social</c:v>
                </c:pt>
                <c:pt idx="6">
                  <c:v>Fid. Público de la Zona de Santa Fe</c:v>
                </c:pt>
                <c:pt idx="7">
                  <c:v>Fid. Museo de Arte Popular Mexicano</c:v>
                </c:pt>
                <c:pt idx="8">
                  <c:v>Fid. Educación Garantizada </c:v>
                </c:pt>
                <c:pt idx="9">
                  <c:v>Fon. Ambiental Público</c:v>
                </c:pt>
                <c:pt idx="10">
                  <c:v>Fid.Centro Histórico </c:v>
                </c:pt>
                <c:pt idx="11">
                  <c:v>Fon. para el Desarrollo Social </c:v>
                </c:pt>
                <c:pt idx="12">
                  <c:v>Fid. Museo del Estanquillo</c:v>
                </c:pt>
                <c:pt idx="13">
                  <c:v>Fon. de Desarrollo Económico </c:v>
                </c:pt>
                <c:pt idx="14">
                  <c:v>Fid. de Recuperación Crediticia </c:v>
                </c:pt>
                <c:pt idx="15">
                  <c:v>Fon.Mixto de Promoción Turística</c:v>
                </c:pt>
              </c:strCache>
            </c:strRef>
          </c:cat>
          <c:val>
            <c:numRef>
              <c:f>Hoja1!$B$1:$B$16</c:f>
              <c:numCache>
                <c:formatCode>0.00</c:formatCode>
                <c:ptCount val="16"/>
                <c:pt idx="0">
                  <c:v>0</c:v>
                </c:pt>
                <c:pt idx="1">
                  <c:v>0</c:v>
                </c:pt>
                <c:pt idx="2">
                  <c:v>0.94339622641509435</c:v>
                </c:pt>
                <c:pt idx="3">
                  <c:v>45.820278892759347</c:v>
                </c:pt>
                <c:pt idx="4">
                  <c:v>48.735763977580554</c:v>
                </c:pt>
                <c:pt idx="5">
                  <c:v>52.558694253421351</c:v>
                </c:pt>
                <c:pt idx="6">
                  <c:v>68.50961538461533</c:v>
                </c:pt>
                <c:pt idx="7">
                  <c:v>71.163310532290197</c:v>
                </c:pt>
                <c:pt idx="8">
                  <c:v>75.564756995284924</c:v>
                </c:pt>
                <c:pt idx="9">
                  <c:v>76.733474858474807</c:v>
                </c:pt>
                <c:pt idx="10">
                  <c:v>77.359304580008939</c:v>
                </c:pt>
                <c:pt idx="11">
                  <c:v>79.14630024257832</c:v>
                </c:pt>
                <c:pt idx="12">
                  <c:v>81.364197530864161</c:v>
                </c:pt>
                <c:pt idx="13">
                  <c:v>92.15868657971366</c:v>
                </c:pt>
                <c:pt idx="14">
                  <c:v>94.752656123782216</c:v>
                </c:pt>
                <c:pt idx="15">
                  <c:v>99.922506738544513</c:v>
                </c:pt>
              </c:numCache>
            </c:numRef>
          </c:val>
          <c:extLst xmlns:c16r2="http://schemas.microsoft.com/office/drawing/2015/06/chart">
            <c:ext xmlns:c16="http://schemas.microsoft.com/office/drawing/2014/chart" uri="{C3380CC4-5D6E-409C-BE32-E72D297353CC}">
              <c16:uniqueId val="{00000000-FC25-428D-A504-6BEDA9CDEDD9}"/>
            </c:ext>
          </c:extLst>
        </c:ser>
        <c:dLbls>
          <c:showLegendKey val="0"/>
          <c:showVal val="0"/>
          <c:showCatName val="0"/>
          <c:showSerName val="0"/>
          <c:showPercent val="0"/>
          <c:showBubbleSize val="0"/>
        </c:dLbls>
        <c:gapWidth val="219"/>
        <c:overlap val="-27"/>
        <c:axId val="554417960"/>
        <c:axId val="554416000"/>
      </c:barChart>
      <c:catAx>
        <c:axId val="554417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554416000"/>
        <c:crosses val="autoZero"/>
        <c:auto val="1"/>
        <c:lblAlgn val="ctr"/>
        <c:lblOffset val="100"/>
        <c:noMultiLvlLbl val="0"/>
      </c:catAx>
      <c:valAx>
        <c:axId val="554416000"/>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55441796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sz="1400" b="0" i="0" u="none" strike="noStrike" kern="1200" spc="0" baseline="0">
                <a:solidFill>
                  <a:sysClr val="windowText" lastClr="000000">
                    <a:lumMod val="65000"/>
                    <a:lumOff val="35000"/>
                  </a:sysClr>
                </a:solidFill>
                <a:latin typeface="+mn-lt"/>
                <a:ea typeface="+mn-ea"/>
                <a:cs typeface="+mn-cs"/>
              </a:rPr>
              <a:t>Artículo</a:t>
            </a:r>
            <a:r>
              <a:rPr lang="es-MX"/>
              <a:t> 146 ICP</a:t>
            </a:r>
          </a:p>
        </c:rich>
      </c:tx>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cat>
            <c:strRef>
              <c:f>Hoja1!$A$1:$A$2</c:f>
              <c:strCache>
                <c:ptCount val="2"/>
                <c:pt idx="0">
                  <c:v>Asamblea Legislativa del Distrito Federal</c:v>
                </c:pt>
                <c:pt idx="1">
                  <c:v>Auditoría Superior de la Ciudad de México</c:v>
                </c:pt>
              </c:strCache>
            </c:strRef>
          </c:cat>
          <c:val>
            <c:numRef>
              <c:f>Hoja1!$B$1:$B$2</c:f>
              <c:numCache>
                <c:formatCode>0.00</c:formatCode>
                <c:ptCount val="2"/>
                <c:pt idx="0">
                  <c:v>0</c:v>
                </c:pt>
                <c:pt idx="1">
                  <c:v>100.00000000000001</c:v>
                </c:pt>
              </c:numCache>
            </c:numRef>
          </c:val>
          <c:extLst xmlns:c16r2="http://schemas.microsoft.com/office/drawing/2015/06/chart">
            <c:ext xmlns:c16="http://schemas.microsoft.com/office/drawing/2014/chart" uri="{C3380CC4-5D6E-409C-BE32-E72D297353CC}">
              <c16:uniqueId val="{00000000-F4EC-41B0-8B5C-56F56775B570}"/>
            </c:ext>
          </c:extLst>
        </c:ser>
        <c:dLbls>
          <c:showLegendKey val="0"/>
          <c:showVal val="0"/>
          <c:showCatName val="0"/>
          <c:showSerName val="0"/>
          <c:showPercent val="0"/>
          <c:showBubbleSize val="0"/>
        </c:dLbls>
        <c:gapWidth val="219"/>
        <c:overlap val="-27"/>
        <c:axId val="522672704"/>
        <c:axId val="522673096"/>
      </c:barChart>
      <c:catAx>
        <c:axId val="522672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522673096"/>
        <c:crosses val="autoZero"/>
        <c:auto val="1"/>
        <c:lblAlgn val="ctr"/>
        <c:lblOffset val="100"/>
        <c:noMultiLvlLbl val="0"/>
      </c:catAx>
      <c:valAx>
        <c:axId val="522673096"/>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52267270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S"/>
              <a:t>IGOT</a:t>
            </a:r>
          </a:p>
        </c:rich>
      </c:tx>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cat>
            <c:strRef>
              <c:f>Hoja1!$A$1:$A$7</c:f>
              <c:strCache>
                <c:ptCount val="7"/>
                <c:pt idx="0">
                  <c:v>UACM</c:v>
                </c:pt>
                <c:pt idx="1">
                  <c:v>JUNTA LOCAL</c:v>
                </c:pt>
                <c:pt idx="2">
                  <c:v>INFO</c:v>
                </c:pt>
                <c:pt idx="3">
                  <c:v> CDHDF</c:v>
                </c:pt>
                <c:pt idx="4">
                  <c:v>TECDMX</c:v>
                </c:pt>
                <c:pt idx="5">
                  <c:v>IECM </c:v>
                </c:pt>
                <c:pt idx="6">
                  <c:v>TCADF</c:v>
                </c:pt>
              </c:strCache>
            </c:strRef>
          </c:cat>
          <c:val>
            <c:numRef>
              <c:f>Hoja1!$B$1:$B$7</c:f>
              <c:numCache>
                <c:formatCode>0.00</c:formatCode>
                <c:ptCount val="7"/>
                <c:pt idx="0">
                  <c:v>40.640613212460394</c:v>
                </c:pt>
                <c:pt idx="1">
                  <c:v>74.174491034767385</c:v>
                </c:pt>
                <c:pt idx="2">
                  <c:v>94.408465959327998</c:v>
                </c:pt>
                <c:pt idx="3">
                  <c:v>95.759497861027569</c:v>
                </c:pt>
                <c:pt idx="4">
                  <c:v>98.304335016834983</c:v>
                </c:pt>
                <c:pt idx="5">
                  <c:v>99.782113993508261</c:v>
                </c:pt>
                <c:pt idx="6">
                  <c:v>99.999999999999957</c:v>
                </c:pt>
              </c:numCache>
            </c:numRef>
          </c:val>
          <c:extLst xmlns:c16r2="http://schemas.microsoft.com/office/drawing/2015/06/chart">
            <c:ext xmlns:c16="http://schemas.microsoft.com/office/drawing/2014/chart" uri="{C3380CC4-5D6E-409C-BE32-E72D297353CC}">
              <c16:uniqueId val="{00000000-2D8E-8845-A1BA-CE7B87036508}"/>
            </c:ext>
          </c:extLst>
        </c:ser>
        <c:dLbls>
          <c:showLegendKey val="0"/>
          <c:showVal val="0"/>
          <c:showCatName val="0"/>
          <c:showSerName val="0"/>
          <c:showPercent val="0"/>
          <c:showBubbleSize val="0"/>
        </c:dLbls>
        <c:gapWidth val="219"/>
        <c:overlap val="-27"/>
        <c:axId val="522672312"/>
        <c:axId val="522671920"/>
      </c:barChart>
      <c:catAx>
        <c:axId val="522672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522671920"/>
        <c:crosses val="autoZero"/>
        <c:auto val="1"/>
        <c:lblAlgn val="ctr"/>
        <c:lblOffset val="100"/>
        <c:noMultiLvlLbl val="0"/>
      </c:catAx>
      <c:valAx>
        <c:axId val="522671920"/>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5226723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S" sz="1400" b="0" i="0" u="none" strike="noStrike" kern="1200" spc="0" baseline="0">
                <a:solidFill>
                  <a:sysClr val="windowText" lastClr="000000">
                    <a:lumMod val="65000"/>
                    <a:lumOff val="35000"/>
                  </a:sysClr>
                </a:solidFill>
                <a:latin typeface="+mn-lt"/>
                <a:ea typeface="+mn-ea"/>
                <a:cs typeface="+mn-cs"/>
              </a:rPr>
              <a:t>ARTÍCULO</a:t>
            </a:r>
            <a:r>
              <a:rPr lang="es-ES" baseline="0"/>
              <a:t> 121 ICP</a:t>
            </a:r>
            <a:endParaRPr lang="es-ES"/>
          </a:p>
        </c:rich>
      </c:tx>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cat>
            <c:strRef>
              <c:f>Hoja1!$A$1:$A$7</c:f>
              <c:strCache>
                <c:ptCount val="7"/>
                <c:pt idx="0">
                  <c:v>UACM</c:v>
                </c:pt>
                <c:pt idx="1">
                  <c:v>JUNTA LOCAL</c:v>
                </c:pt>
                <c:pt idx="2">
                  <c:v>INFO</c:v>
                </c:pt>
                <c:pt idx="3">
                  <c:v> CDHDF</c:v>
                </c:pt>
                <c:pt idx="4">
                  <c:v>TECDMX</c:v>
                </c:pt>
                <c:pt idx="5">
                  <c:v>IECM </c:v>
                </c:pt>
                <c:pt idx="6">
                  <c:v>TCADF</c:v>
                </c:pt>
              </c:strCache>
            </c:strRef>
          </c:cat>
          <c:val>
            <c:numRef>
              <c:f>Hoja1!$B$1:$B$7</c:f>
              <c:numCache>
                <c:formatCode>0.00</c:formatCode>
                <c:ptCount val="7"/>
                <c:pt idx="0">
                  <c:v>40.640613212460394</c:v>
                </c:pt>
                <c:pt idx="1">
                  <c:v>74.174491034767385</c:v>
                </c:pt>
                <c:pt idx="2">
                  <c:v>94.408465959327998</c:v>
                </c:pt>
                <c:pt idx="3">
                  <c:v>95.759497861027569</c:v>
                </c:pt>
                <c:pt idx="4">
                  <c:v>98.304335016834983</c:v>
                </c:pt>
                <c:pt idx="5">
                  <c:v>99.782113993508261</c:v>
                </c:pt>
                <c:pt idx="6">
                  <c:v>99.999999999999957</c:v>
                </c:pt>
              </c:numCache>
            </c:numRef>
          </c:val>
          <c:extLst xmlns:c16r2="http://schemas.microsoft.com/office/drawing/2015/06/chart">
            <c:ext xmlns:c16="http://schemas.microsoft.com/office/drawing/2014/chart" uri="{C3380CC4-5D6E-409C-BE32-E72D297353CC}">
              <c16:uniqueId val="{00000000-0C17-794F-AF35-67CDD1117FB2}"/>
            </c:ext>
          </c:extLst>
        </c:ser>
        <c:dLbls>
          <c:showLegendKey val="0"/>
          <c:showVal val="0"/>
          <c:showCatName val="0"/>
          <c:showSerName val="0"/>
          <c:showPercent val="0"/>
          <c:showBubbleSize val="0"/>
        </c:dLbls>
        <c:gapWidth val="219"/>
        <c:overlap val="-27"/>
        <c:axId val="326928480"/>
        <c:axId val="326926912"/>
      </c:barChart>
      <c:catAx>
        <c:axId val="326928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26926912"/>
        <c:crosses val="autoZero"/>
        <c:auto val="1"/>
        <c:lblAlgn val="ctr"/>
        <c:lblOffset val="100"/>
        <c:noMultiLvlLbl val="0"/>
      </c:catAx>
      <c:valAx>
        <c:axId val="326926912"/>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269284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S" sz="1400" b="0" i="0" u="none" strike="noStrike" kern="1200" spc="0" baseline="0">
                <a:solidFill>
                  <a:sysClr val="windowText" lastClr="000000">
                    <a:lumMod val="65000"/>
                    <a:lumOff val="35000"/>
                  </a:sysClr>
                </a:solidFill>
                <a:latin typeface="+mn-lt"/>
                <a:ea typeface="+mn-ea"/>
                <a:cs typeface="+mn-cs"/>
              </a:rPr>
              <a:t>Artículo</a:t>
            </a:r>
            <a:r>
              <a:rPr lang="es-ES" baseline="0"/>
              <a:t> 146 ICP</a:t>
            </a:r>
            <a:endParaRPr lang="es-ES"/>
          </a:p>
        </c:rich>
      </c:tx>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cat>
            <c:strRef>
              <c:f>Hoja1!$A$1:$A$7</c:f>
              <c:strCache>
                <c:ptCount val="7"/>
                <c:pt idx="0">
                  <c:v>UACM</c:v>
                </c:pt>
                <c:pt idx="1">
                  <c:v>JUNTA LOCAL</c:v>
                </c:pt>
                <c:pt idx="2">
                  <c:v>INFO</c:v>
                </c:pt>
                <c:pt idx="3">
                  <c:v> CDHDF</c:v>
                </c:pt>
                <c:pt idx="4">
                  <c:v>TECDMX</c:v>
                </c:pt>
                <c:pt idx="5">
                  <c:v>IECM </c:v>
                </c:pt>
                <c:pt idx="6">
                  <c:v>TCADF</c:v>
                </c:pt>
              </c:strCache>
            </c:strRef>
          </c:cat>
          <c:val>
            <c:numRef>
              <c:f>Hoja1!$B$1:$B$7</c:f>
              <c:numCache>
                <c:formatCode>0.00</c:formatCode>
                <c:ptCount val="7"/>
                <c:pt idx="0">
                  <c:v>40.640613212460394</c:v>
                </c:pt>
                <c:pt idx="1">
                  <c:v>74.174491034767385</c:v>
                </c:pt>
                <c:pt idx="2">
                  <c:v>94.408465959327998</c:v>
                </c:pt>
                <c:pt idx="3">
                  <c:v>95.759497861027569</c:v>
                </c:pt>
                <c:pt idx="4">
                  <c:v>98.304335016834983</c:v>
                </c:pt>
                <c:pt idx="5">
                  <c:v>99.782113993508261</c:v>
                </c:pt>
                <c:pt idx="6">
                  <c:v>99.999999999999957</c:v>
                </c:pt>
              </c:numCache>
            </c:numRef>
          </c:val>
          <c:extLst xmlns:c16r2="http://schemas.microsoft.com/office/drawing/2015/06/chart">
            <c:ext xmlns:c16="http://schemas.microsoft.com/office/drawing/2014/chart" uri="{C3380CC4-5D6E-409C-BE32-E72D297353CC}">
              <c16:uniqueId val="{00000000-2DFE-E143-BE5E-0459022D0EEC}"/>
            </c:ext>
          </c:extLst>
        </c:ser>
        <c:dLbls>
          <c:showLegendKey val="0"/>
          <c:showVal val="0"/>
          <c:showCatName val="0"/>
          <c:showSerName val="0"/>
          <c:showPercent val="0"/>
          <c:showBubbleSize val="0"/>
        </c:dLbls>
        <c:gapWidth val="219"/>
        <c:overlap val="-27"/>
        <c:axId val="326928088"/>
        <c:axId val="560011576"/>
      </c:barChart>
      <c:catAx>
        <c:axId val="326928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560011576"/>
        <c:crosses val="autoZero"/>
        <c:auto val="1"/>
        <c:lblAlgn val="ctr"/>
        <c:lblOffset val="100"/>
        <c:noMultiLvlLbl val="0"/>
      </c:catAx>
      <c:valAx>
        <c:axId val="560011576"/>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269280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S" sz="1400" b="0" i="0" u="none" strike="noStrike" kern="1200" spc="0" baseline="0">
                <a:solidFill>
                  <a:sysClr val="windowText" lastClr="000000">
                    <a:lumMod val="65000"/>
                    <a:lumOff val="35000"/>
                  </a:sysClr>
                </a:solidFill>
                <a:latin typeface="+mn-lt"/>
                <a:ea typeface="+mn-ea"/>
                <a:cs typeface="+mn-cs"/>
              </a:rPr>
              <a:t>Artículo</a:t>
            </a:r>
            <a:r>
              <a:rPr lang="es-ES" baseline="0"/>
              <a:t> 147</a:t>
            </a:r>
            <a:endParaRPr lang="es-ES"/>
          </a:p>
        </c:rich>
      </c:tx>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cat>
            <c:strRef>
              <c:f>Hoja1!$A$1:$A$7</c:f>
              <c:strCache>
                <c:ptCount val="7"/>
                <c:pt idx="0">
                  <c:v>UACM</c:v>
                </c:pt>
                <c:pt idx="1">
                  <c:v>JUNTA LOCAL</c:v>
                </c:pt>
                <c:pt idx="2">
                  <c:v>INFO</c:v>
                </c:pt>
                <c:pt idx="3">
                  <c:v> CDHDF</c:v>
                </c:pt>
                <c:pt idx="4">
                  <c:v>TECDMX</c:v>
                </c:pt>
                <c:pt idx="5">
                  <c:v>IECM </c:v>
                </c:pt>
                <c:pt idx="6">
                  <c:v>TCADF</c:v>
                </c:pt>
              </c:strCache>
            </c:strRef>
          </c:cat>
          <c:val>
            <c:numRef>
              <c:f>Hoja1!$B$1:$B$7</c:f>
              <c:numCache>
                <c:formatCode>0.00</c:formatCode>
                <c:ptCount val="7"/>
                <c:pt idx="0">
                  <c:v>40.640613212460394</c:v>
                </c:pt>
                <c:pt idx="1">
                  <c:v>74.174491034767385</c:v>
                </c:pt>
                <c:pt idx="2">
                  <c:v>94.408465959327998</c:v>
                </c:pt>
                <c:pt idx="3">
                  <c:v>95.759497861027569</c:v>
                </c:pt>
                <c:pt idx="4">
                  <c:v>98.304335016834983</c:v>
                </c:pt>
                <c:pt idx="5">
                  <c:v>99.782113993508261</c:v>
                </c:pt>
                <c:pt idx="6">
                  <c:v>99.999999999999957</c:v>
                </c:pt>
              </c:numCache>
            </c:numRef>
          </c:val>
          <c:extLst xmlns:c16r2="http://schemas.microsoft.com/office/drawing/2015/06/chart">
            <c:ext xmlns:c16="http://schemas.microsoft.com/office/drawing/2014/chart" uri="{C3380CC4-5D6E-409C-BE32-E72D297353CC}">
              <c16:uniqueId val="{00000000-CAC5-9840-B278-E3AD3F8379B7}"/>
            </c:ext>
          </c:extLst>
        </c:ser>
        <c:dLbls>
          <c:showLegendKey val="0"/>
          <c:showVal val="0"/>
          <c:showCatName val="0"/>
          <c:showSerName val="0"/>
          <c:showPercent val="0"/>
          <c:showBubbleSize val="0"/>
        </c:dLbls>
        <c:gapWidth val="219"/>
        <c:overlap val="-27"/>
        <c:axId val="560012360"/>
        <c:axId val="560012752"/>
      </c:barChart>
      <c:catAx>
        <c:axId val="560012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560012752"/>
        <c:crosses val="autoZero"/>
        <c:auto val="1"/>
        <c:lblAlgn val="ctr"/>
        <c:lblOffset val="100"/>
        <c:noMultiLvlLbl val="0"/>
      </c:catAx>
      <c:valAx>
        <c:axId val="560012752"/>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5600123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sz="1400" b="0" i="0" u="none" strike="noStrike" kern="1200" spc="0" baseline="0">
                <a:solidFill>
                  <a:sysClr val="windowText" lastClr="000000">
                    <a:lumMod val="65000"/>
                    <a:lumOff val="35000"/>
                  </a:sysClr>
                </a:solidFill>
                <a:latin typeface="+mn-lt"/>
                <a:ea typeface="+mn-ea"/>
                <a:cs typeface="+mn-cs"/>
              </a:rPr>
              <a:t>Artículo</a:t>
            </a:r>
            <a:r>
              <a:rPr lang="es-MX"/>
              <a:t> 121 ICP</a:t>
            </a:r>
          </a:p>
        </c:rich>
      </c:tx>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cat>
            <c:strRef>
              <c:f>Hoja1!$A$1:$A$11</c:f>
              <c:strCache>
                <c:ptCount val="10"/>
                <c:pt idx="0">
                  <c:v>Encuentro Social </c:v>
                </c:pt>
                <c:pt idx="1">
                  <c:v>Partido del Trabajo</c:v>
                </c:pt>
                <c:pt idx="2">
                  <c:v>MORENA </c:v>
                </c:pt>
                <c:pt idx="3">
                  <c:v>Movimiento Ciudadano </c:v>
                </c:pt>
                <c:pt idx="4">
                  <c:v>Nueva Alianza</c:v>
                </c:pt>
                <c:pt idx="5">
                  <c:v>Partido Acción Nacional</c:v>
                </c:pt>
                <c:pt idx="6">
                  <c:v>Partido de la Revolución Democrática</c:v>
                </c:pt>
                <c:pt idx="7">
                  <c:v>Partido Humanista</c:v>
                </c:pt>
                <c:pt idx="8">
                  <c:v>Partido Revolucionario Institucional </c:v>
                </c:pt>
                <c:pt idx="9">
                  <c:v>Partido Verde Ecologista de México </c:v>
                </c:pt>
              </c:strCache>
            </c:strRef>
          </c:cat>
          <c:val>
            <c:numRef>
              <c:f>Hoja1!$B$1:$B$11</c:f>
              <c:numCache>
                <c:formatCode>0.00</c:formatCode>
                <c:ptCount val="11"/>
                <c:pt idx="0">
                  <c:v>55</c:v>
                </c:pt>
                <c:pt idx="1">
                  <c:v>55</c:v>
                </c:pt>
                <c:pt idx="2">
                  <c:v>100</c:v>
                </c:pt>
                <c:pt idx="3">
                  <c:v>100</c:v>
                </c:pt>
                <c:pt idx="4">
                  <c:v>100</c:v>
                </c:pt>
                <c:pt idx="5">
                  <c:v>100</c:v>
                </c:pt>
                <c:pt idx="6">
                  <c:v>100</c:v>
                </c:pt>
                <c:pt idx="7">
                  <c:v>100</c:v>
                </c:pt>
                <c:pt idx="8">
                  <c:v>100</c:v>
                </c:pt>
                <c:pt idx="9">
                  <c:v>100</c:v>
                </c:pt>
              </c:numCache>
            </c:numRef>
          </c:val>
          <c:extLst xmlns:c16r2="http://schemas.microsoft.com/office/drawing/2015/06/chart">
            <c:ext xmlns:c16="http://schemas.microsoft.com/office/drawing/2014/chart" uri="{C3380CC4-5D6E-409C-BE32-E72D297353CC}">
              <c16:uniqueId val="{00000000-8E32-4DF5-82BA-47C482621E4D}"/>
            </c:ext>
          </c:extLst>
        </c:ser>
        <c:dLbls>
          <c:showLegendKey val="0"/>
          <c:showVal val="0"/>
          <c:showCatName val="0"/>
          <c:showSerName val="0"/>
          <c:showPercent val="0"/>
          <c:showBubbleSize val="0"/>
        </c:dLbls>
        <c:gapWidth val="219"/>
        <c:overlap val="-27"/>
        <c:axId val="329117544"/>
        <c:axId val="329116760"/>
      </c:barChart>
      <c:catAx>
        <c:axId val="329117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29116760"/>
        <c:crosses val="autoZero"/>
        <c:auto val="1"/>
        <c:lblAlgn val="ctr"/>
        <c:lblOffset val="100"/>
        <c:noMultiLvlLbl val="0"/>
      </c:catAx>
      <c:valAx>
        <c:axId val="329116760"/>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291175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sz="1400" b="0" i="0" u="none" strike="noStrike" kern="1200" spc="0" baseline="0">
                <a:solidFill>
                  <a:sysClr val="windowText" lastClr="000000">
                    <a:lumMod val="65000"/>
                    <a:lumOff val="35000"/>
                  </a:sysClr>
                </a:solidFill>
                <a:latin typeface="+mn-lt"/>
                <a:ea typeface="+mn-ea"/>
                <a:cs typeface="+mn-cs"/>
              </a:rPr>
              <a:t>Artículo</a:t>
            </a:r>
            <a:r>
              <a:rPr lang="es-MX" baseline="0"/>
              <a:t> 129 ICP</a:t>
            </a:r>
            <a:endParaRPr lang="es-MX"/>
          </a:p>
        </c:rich>
      </c:tx>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cat>
            <c:strRef>
              <c:f>Hoja1!$A$1:$A$10</c:f>
              <c:strCache>
                <c:ptCount val="10"/>
                <c:pt idx="0">
                  <c:v>MORENA </c:v>
                </c:pt>
                <c:pt idx="1">
                  <c:v>Nueva Alianza</c:v>
                </c:pt>
                <c:pt idx="2">
                  <c:v>Encuentro Social </c:v>
                </c:pt>
                <c:pt idx="3">
                  <c:v>Partido del Trabajo</c:v>
                </c:pt>
                <c:pt idx="4">
                  <c:v>Partido de la Revolución Democrática</c:v>
                </c:pt>
                <c:pt idx="5">
                  <c:v>Partido Acción Nacional</c:v>
                </c:pt>
                <c:pt idx="6">
                  <c:v>Partido Humanista</c:v>
                </c:pt>
                <c:pt idx="7">
                  <c:v>Partido Verde Ecologista de México </c:v>
                </c:pt>
                <c:pt idx="8">
                  <c:v>Movimiento Ciudadano </c:v>
                </c:pt>
                <c:pt idx="9">
                  <c:v>Partido Revolucionario Institucional </c:v>
                </c:pt>
              </c:strCache>
            </c:strRef>
          </c:cat>
          <c:val>
            <c:numRef>
              <c:f>Hoja1!$B$1:$B$10</c:f>
              <c:numCache>
                <c:formatCode>0.00</c:formatCode>
                <c:ptCount val="10"/>
                <c:pt idx="0">
                  <c:v>1.5138888888888891</c:v>
                </c:pt>
                <c:pt idx="1">
                  <c:v>3.3333333333333335</c:v>
                </c:pt>
                <c:pt idx="2">
                  <c:v>12.069444444444446</c:v>
                </c:pt>
                <c:pt idx="3">
                  <c:v>13.545634920634921</c:v>
                </c:pt>
                <c:pt idx="4">
                  <c:v>36.915873015873018</c:v>
                </c:pt>
                <c:pt idx="5">
                  <c:v>46.257575757575744</c:v>
                </c:pt>
                <c:pt idx="6">
                  <c:v>54.999999999999993</c:v>
                </c:pt>
                <c:pt idx="7">
                  <c:v>96.43497474747474</c:v>
                </c:pt>
                <c:pt idx="8">
                  <c:v>99.999999999999986</c:v>
                </c:pt>
                <c:pt idx="9">
                  <c:v>99.999999999999986</c:v>
                </c:pt>
              </c:numCache>
            </c:numRef>
          </c:val>
          <c:extLst xmlns:c16r2="http://schemas.microsoft.com/office/drawing/2015/06/chart">
            <c:ext xmlns:c16="http://schemas.microsoft.com/office/drawing/2014/chart" uri="{C3380CC4-5D6E-409C-BE32-E72D297353CC}">
              <c16:uniqueId val="{00000000-2A3F-4F3D-94C5-AF6517E1416C}"/>
            </c:ext>
          </c:extLst>
        </c:ser>
        <c:dLbls>
          <c:showLegendKey val="0"/>
          <c:showVal val="0"/>
          <c:showCatName val="0"/>
          <c:showSerName val="0"/>
          <c:showPercent val="0"/>
          <c:showBubbleSize val="0"/>
        </c:dLbls>
        <c:gapWidth val="219"/>
        <c:overlap val="-27"/>
        <c:axId val="329116368"/>
        <c:axId val="557353080"/>
      </c:barChart>
      <c:catAx>
        <c:axId val="329116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557353080"/>
        <c:crosses val="autoZero"/>
        <c:auto val="1"/>
        <c:lblAlgn val="ctr"/>
        <c:lblOffset val="100"/>
        <c:noMultiLvlLbl val="0"/>
      </c:catAx>
      <c:valAx>
        <c:axId val="55735308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2911636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sz="1400" b="0" i="0" u="none" strike="noStrike" kern="1200" spc="0" baseline="0">
                <a:solidFill>
                  <a:sysClr val="windowText" lastClr="000000">
                    <a:lumMod val="65000"/>
                    <a:lumOff val="35000"/>
                  </a:sysClr>
                </a:solidFill>
                <a:latin typeface="+mn-lt"/>
                <a:ea typeface="+mn-ea"/>
                <a:cs typeface="+mn-cs"/>
              </a:rPr>
              <a:t>Artículo</a:t>
            </a:r>
            <a:r>
              <a:rPr lang="es-MX" baseline="0"/>
              <a:t> 146 ICP</a:t>
            </a:r>
            <a:endParaRPr lang="es-MX"/>
          </a:p>
        </c:rich>
      </c:tx>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cat>
            <c:strRef>
              <c:f>Hoja1!$A$1:$A$10</c:f>
              <c:strCache>
                <c:ptCount val="10"/>
                <c:pt idx="0">
                  <c:v>Encuentro Social </c:v>
                </c:pt>
                <c:pt idx="1">
                  <c:v>MORENA </c:v>
                </c:pt>
                <c:pt idx="2">
                  <c:v>Nueva Alianza</c:v>
                </c:pt>
                <c:pt idx="3">
                  <c:v>Partido Acción Nacional</c:v>
                </c:pt>
                <c:pt idx="4">
                  <c:v>Partido del Trabajo</c:v>
                </c:pt>
                <c:pt idx="5">
                  <c:v>Partido Humanista</c:v>
                </c:pt>
                <c:pt idx="6">
                  <c:v>Partido de la Revolución Democrática</c:v>
                </c:pt>
                <c:pt idx="7">
                  <c:v>Movimiento Ciudadano </c:v>
                </c:pt>
                <c:pt idx="8">
                  <c:v>Partido Revolucionario Institucional </c:v>
                </c:pt>
                <c:pt idx="9">
                  <c:v>Partido Verde Ecologista de México </c:v>
                </c:pt>
              </c:strCache>
            </c:strRef>
          </c:cat>
          <c:val>
            <c:numRef>
              <c:f>Hoja1!$B$1:$B$10</c:f>
              <c:numCache>
                <c:formatCode>0.00</c:formatCode>
                <c:ptCount val="10"/>
                <c:pt idx="0">
                  <c:v>0</c:v>
                </c:pt>
                <c:pt idx="1">
                  <c:v>0</c:v>
                </c:pt>
                <c:pt idx="2">
                  <c:v>0</c:v>
                </c:pt>
                <c:pt idx="3">
                  <c:v>0</c:v>
                </c:pt>
                <c:pt idx="4">
                  <c:v>0</c:v>
                </c:pt>
                <c:pt idx="5">
                  <c:v>55.000000000000007</c:v>
                </c:pt>
                <c:pt idx="6">
                  <c:v>90.000000000000014</c:v>
                </c:pt>
                <c:pt idx="7">
                  <c:v>100.00000000000001</c:v>
                </c:pt>
                <c:pt idx="8">
                  <c:v>100.00000000000001</c:v>
                </c:pt>
                <c:pt idx="9">
                  <c:v>100.00000000000001</c:v>
                </c:pt>
              </c:numCache>
            </c:numRef>
          </c:val>
          <c:extLst xmlns:c16r2="http://schemas.microsoft.com/office/drawing/2015/06/chart">
            <c:ext xmlns:c16="http://schemas.microsoft.com/office/drawing/2014/chart" uri="{C3380CC4-5D6E-409C-BE32-E72D297353CC}">
              <c16:uniqueId val="{00000000-F391-4AF0-8742-DE26D4B3E267}"/>
            </c:ext>
          </c:extLst>
        </c:ser>
        <c:dLbls>
          <c:showLegendKey val="0"/>
          <c:showVal val="0"/>
          <c:showCatName val="0"/>
          <c:showSerName val="0"/>
          <c:showPercent val="0"/>
          <c:showBubbleSize val="0"/>
        </c:dLbls>
        <c:gapWidth val="219"/>
        <c:overlap val="-27"/>
        <c:axId val="557353864"/>
        <c:axId val="557354648"/>
      </c:barChart>
      <c:catAx>
        <c:axId val="557353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557354648"/>
        <c:crosses val="autoZero"/>
        <c:auto val="1"/>
        <c:lblAlgn val="ctr"/>
        <c:lblOffset val="100"/>
        <c:noMultiLvlLbl val="0"/>
      </c:catAx>
      <c:valAx>
        <c:axId val="557354648"/>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55735386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sz="1400" b="0" i="0" u="none" strike="noStrike" kern="1200" spc="0" baseline="0">
                <a:solidFill>
                  <a:sysClr val="windowText" lastClr="000000">
                    <a:lumMod val="65000"/>
                    <a:lumOff val="35000"/>
                  </a:sysClr>
                </a:solidFill>
                <a:latin typeface="+mn-lt"/>
                <a:ea typeface="+mn-ea"/>
                <a:cs typeface="+mn-cs"/>
              </a:rPr>
              <a:t>Artículo</a:t>
            </a:r>
            <a:r>
              <a:rPr lang="es-MX" baseline="0"/>
              <a:t> 147  ICP</a:t>
            </a:r>
            <a:endParaRPr lang="es-MX"/>
          </a:p>
        </c:rich>
      </c:tx>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cat>
            <c:strRef>
              <c:f>Hoja1!$A$1:$A$10</c:f>
              <c:strCache>
                <c:ptCount val="10"/>
                <c:pt idx="0">
                  <c:v>Encuentro Social </c:v>
                </c:pt>
                <c:pt idx="1">
                  <c:v>Partido del Trabajo</c:v>
                </c:pt>
                <c:pt idx="2">
                  <c:v>MORENA </c:v>
                </c:pt>
                <c:pt idx="3">
                  <c:v>Movimiento Ciudadano </c:v>
                </c:pt>
                <c:pt idx="4">
                  <c:v>Nueva Alianza</c:v>
                </c:pt>
                <c:pt idx="5">
                  <c:v>Partido Acción Nacional</c:v>
                </c:pt>
                <c:pt idx="6">
                  <c:v>Partido de la Revolución Democrática</c:v>
                </c:pt>
                <c:pt idx="7">
                  <c:v>Partido Humanista</c:v>
                </c:pt>
                <c:pt idx="8">
                  <c:v>Partido Revolucionario Institucional </c:v>
                </c:pt>
                <c:pt idx="9">
                  <c:v>Partido Verde Ecologista de México </c:v>
                </c:pt>
              </c:strCache>
            </c:strRef>
          </c:cat>
          <c:val>
            <c:numRef>
              <c:f>Hoja1!$B$1:$B$10</c:f>
              <c:numCache>
                <c:formatCode>0.00</c:formatCode>
                <c:ptCount val="10"/>
                <c:pt idx="0">
                  <c:v>55</c:v>
                </c:pt>
                <c:pt idx="1">
                  <c:v>55</c:v>
                </c:pt>
                <c:pt idx="2">
                  <c:v>100</c:v>
                </c:pt>
                <c:pt idx="3">
                  <c:v>100</c:v>
                </c:pt>
                <c:pt idx="4">
                  <c:v>100</c:v>
                </c:pt>
                <c:pt idx="5">
                  <c:v>100</c:v>
                </c:pt>
                <c:pt idx="6">
                  <c:v>100</c:v>
                </c:pt>
                <c:pt idx="7">
                  <c:v>100</c:v>
                </c:pt>
                <c:pt idx="8">
                  <c:v>100</c:v>
                </c:pt>
                <c:pt idx="9">
                  <c:v>100</c:v>
                </c:pt>
              </c:numCache>
            </c:numRef>
          </c:val>
          <c:extLst xmlns:c16r2="http://schemas.microsoft.com/office/drawing/2015/06/chart">
            <c:ext xmlns:c16="http://schemas.microsoft.com/office/drawing/2014/chart" uri="{C3380CC4-5D6E-409C-BE32-E72D297353CC}">
              <c16:uniqueId val="{00000000-6949-4A28-90E7-948DD0E51C6C}"/>
            </c:ext>
          </c:extLst>
        </c:ser>
        <c:dLbls>
          <c:showLegendKey val="0"/>
          <c:showVal val="0"/>
          <c:showCatName val="0"/>
          <c:showSerName val="0"/>
          <c:showPercent val="0"/>
          <c:showBubbleSize val="0"/>
        </c:dLbls>
        <c:gapWidth val="219"/>
        <c:overlap val="-27"/>
        <c:axId val="797992304"/>
        <c:axId val="797991912"/>
      </c:barChart>
      <c:catAx>
        <c:axId val="797992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797991912"/>
        <c:crosses val="autoZero"/>
        <c:auto val="1"/>
        <c:lblAlgn val="ctr"/>
        <c:lblOffset val="100"/>
        <c:noMultiLvlLbl val="0"/>
      </c:catAx>
      <c:valAx>
        <c:axId val="797991912"/>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79799230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sz="1400" b="0" i="0" u="none" strike="noStrike" kern="1200" spc="0" baseline="0">
                <a:solidFill>
                  <a:sysClr val="windowText" lastClr="000000">
                    <a:lumMod val="65000"/>
                    <a:lumOff val="35000"/>
                  </a:sysClr>
                </a:solidFill>
                <a:latin typeface="+mn-lt"/>
                <a:ea typeface="+mn-ea"/>
                <a:cs typeface="+mn-cs"/>
              </a:rPr>
              <a:t>Artículo</a:t>
            </a:r>
            <a:r>
              <a:rPr lang="es-MX"/>
              <a:t> 135 ICP</a:t>
            </a:r>
          </a:p>
        </c:rich>
      </c:tx>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cat>
            <c:strRef>
              <c:f>Hoja1!$A$1:$A$16</c:f>
              <c:strCache>
                <c:ptCount val="16"/>
                <c:pt idx="0">
                  <c:v>Fid. Fondo para el Desarrollo Económico y Social</c:v>
                </c:pt>
                <c:pt idx="1">
                  <c:v>Fid. para la Promoción y Desarrollo del Cine Mexicano</c:v>
                </c:pt>
                <c:pt idx="2">
                  <c:v>Fon. Ambiental Público</c:v>
                </c:pt>
                <c:pt idx="3">
                  <c:v>Fid. Público del Fondo de Apoyo a la Procuración de Justicia </c:v>
                </c:pt>
                <c:pt idx="4">
                  <c:v>Fon. de Desarrollo Económico </c:v>
                </c:pt>
                <c:pt idx="5">
                  <c:v>Fid. Museo del Estanquillo</c:v>
                </c:pt>
                <c:pt idx="6">
                  <c:v>Fid.Centro Histórico </c:v>
                </c:pt>
                <c:pt idx="7">
                  <c:v>Fid. de Recuperación Crediticia </c:v>
                </c:pt>
                <c:pt idx="8">
                  <c:v>Fid. Museo de Arte Popular Mexicano</c:v>
                </c:pt>
                <c:pt idx="9">
                  <c:v>Fid. para el Financiamiento del Transporte Público</c:v>
                </c:pt>
                <c:pt idx="10">
                  <c:v>Fid.Público Complejo Ambiental Xochimilco</c:v>
                </c:pt>
                <c:pt idx="11">
                  <c:v>Fid. Público de la Zona de Santa Fe</c:v>
                </c:pt>
                <c:pt idx="12">
                  <c:v>Fon.Mixto de Promoción Turística</c:v>
                </c:pt>
                <c:pt idx="13">
                  <c:v>Fon. para el Desarrollo Social </c:v>
                </c:pt>
                <c:pt idx="14">
                  <c:v>Fon. para la Atención y Apoyo a las Víctimas del Delito</c:v>
                </c:pt>
                <c:pt idx="15">
                  <c:v>Fid. Educación Garantizada </c:v>
                </c:pt>
              </c:strCache>
            </c:strRef>
          </c:cat>
          <c:val>
            <c:numRef>
              <c:f>Hoja1!$B$1:$B$16</c:f>
              <c:numCache>
                <c:formatCode>0.00</c:formatCode>
                <c:ptCount val="16"/>
                <c:pt idx="0">
                  <c:v>0</c:v>
                </c:pt>
                <c:pt idx="1">
                  <c:v>0</c:v>
                </c:pt>
                <c:pt idx="2">
                  <c:v>10</c:v>
                </c:pt>
                <c:pt idx="3">
                  <c:v>50</c:v>
                </c:pt>
                <c:pt idx="4">
                  <c:v>50</c:v>
                </c:pt>
                <c:pt idx="5">
                  <c:v>99.999999999999986</c:v>
                </c:pt>
                <c:pt idx="6">
                  <c:v>100</c:v>
                </c:pt>
                <c:pt idx="7">
                  <c:v>100</c:v>
                </c:pt>
                <c:pt idx="8">
                  <c:v>100</c:v>
                </c:pt>
                <c:pt idx="9">
                  <c:v>100</c:v>
                </c:pt>
                <c:pt idx="10">
                  <c:v>100</c:v>
                </c:pt>
                <c:pt idx="11">
                  <c:v>100</c:v>
                </c:pt>
                <c:pt idx="12">
                  <c:v>100</c:v>
                </c:pt>
                <c:pt idx="13">
                  <c:v>100</c:v>
                </c:pt>
                <c:pt idx="14">
                  <c:v>100</c:v>
                </c:pt>
                <c:pt idx="15">
                  <c:v>100</c:v>
                </c:pt>
              </c:numCache>
            </c:numRef>
          </c:val>
          <c:extLst xmlns:c16r2="http://schemas.microsoft.com/office/drawing/2015/06/chart">
            <c:ext xmlns:c16="http://schemas.microsoft.com/office/drawing/2014/chart" uri="{C3380CC4-5D6E-409C-BE32-E72D297353CC}">
              <c16:uniqueId val="{00000000-F7DD-479B-8213-CBD0BAFF03B5}"/>
            </c:ext>
          </c:extLst>
        </c:ser>
        <c:dLbls>
          <c:showLegendKey val="0"/>
          <c:showVal val="0"/>
          <c:showCatName val="0"/>
          <c:showSerName val="0"/>
          <c:showPercent val="0"/>
          <c:showBubbleSize val="0"/>
        </c:dLbls>
        <c:gapWidth val="219"/>
        <c:overlap val="-27"/>
        <c:axId val="554417176"/>
        <c:axId val="554418744"/>
      </c:barChart>
      <c:catAx>
        <c:axId val="554417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554418744"/>
        <c:crosses val="autoZero"/>
        <c:auto val="1"/>
        <c:lblAlgn val="ctr"/>
        <c:lblOffset val="100"/>
        <c:noMultiLvlLbl val="0"/>
      </c:catAx>
      <c:valAx>
        <c:axId val="554418744"/>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55441717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sz="1400" b="0" i="0" u="none" strike="noStrike" kern="1200" spc="0" baseline="0">
                <a:solidFill>
                  <a:sysClr val="windowText" lastClr="000000">
                    <a:lumMod val="65000"/>
                    <a:lumOff val="35000"/>
                  </a:sysClr>
                </a:solidFill>
                <a:latin typeface="+mn-lt"/>
                <a:ea typeface="+mn-ea"/>
                <a:cs typeface="+mn-cs"/>
              </a:rPr>
              <a:t>Artículo</a:t>
            </a:r>
            <a:r>
              <a:rPr lang="es-MX" baseline="0"/>
              <a:t> 136 ICP</a:t>
            </a:r>
            <a:endParaRPr lang="es-MX"/>
          </a:p>
        </c:rich>
      </c:tx>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cat>
            <c:strRef>
              <c:f>Hoja1!$A$1:$A$16</c:f>
              <c:strCache>
                <c:ptCount val="16"/>
                <c:pt idx="0">
                  <c:v>Fid. para el Financiamiento del Transporte Público</c:v>
                </c:pt>
                <c:pt idx="1">
                  <c:v>Fid. para la Promoción y Desarrollo del Cine Mexicano</c:v>
                </c:pt>
                <c:pt idx="2">
                  <c:v>Fid.Público Complejo Ambiental Xochimilco</c:v>
                </c:pt>
                <c:pt idx="3">
                  <c:v>Fon. de Desarrollo Económico </c:v>
                </c:pt>
                <c:pt idx="4">
                  <c:v>Fid. Público del Fondo de Apoyo a la Procuración de Justicia </c:v>
                </c:pt>
                <c:pt idx="5">
                  <c:v>Fon. para la Atención y Apoyo a las Víctimas del Delito</c:v>
                </c:pt>
                <c:pt idx="6">
                  <c:v>Fid. Público de la Zona de Santa Fe</c:v>
                </c:pt>
                <c:pt idx="7">
                  <c:v>Fid. Fondo para el Desarrollo Económico y Social</c:v>
                </c:pt>
                <c:pt idx="8">
                  <c:v>Fid. Museo de Arte Popular Mexicano</c:v>
                </c:pt>
                <c:pt idx="9">
                  <c:v>Fid.Centro Histórico </c:v>
                </c:pt>
                <c:pt idx="10">
                  <c:v>Fid. de Recuperación Crediticia </c:v>
                </c:pt>
                <c:pt idx="11">
                  <c:v>Fid. Museo del Estanquillo</c:v>
                </c:pt>
                <c:pt idx="12">
                  <c:v>Fon. Ambiental Público</c:v>
                </c:pt>
                <c:pt idx="13">
                  <c:v>Fon. para el Desarrollo Social </c:v>
                </c:pt>
                <c:pt idx="14">
                  <c:v>Fon.Mixto de Promoción Turística</c:v>
                </c:pt>
                <c:pt idx="15">
                  <c:v>Fid. Educación Garantizada </c:v>
                </c:pt>
              </c:strCache>
            </c:strRef>
          </c:cat>
          <c:val>
            <c:numRef>
              <c:f>Hoja1!$B$1:$B$16</c:f>
              <c:numCache>
                <c:formatCode>0.00</c:formatCode>
                <c:ptCount val="16"/>
                <c:pt idx="0">
                  <c:v>0</c:v>
                </c:pt>
                <c:pt idx="1">
                  <c:v>0</c:v>
                </c:pt>
                <c:pt idx="2">
                  <c:v>0</c:v>
                </c:pt>
                <c:pt idx="3">
                  <c:v>23.749999999999996</c:v>
                </c:pt>
                <c:pt idx="4">
                  <c:v>49.166666666666657</c:v>
                </c:pt>
                <c:pt idx="5">
                  <c:v>49.999999999999993</c:v>
                </c:pt>
                <c:pt idx="6">
                  <c:v>54.374999999999993</c:v>
                </c:pt>
                <c:pt idx="7">
                  <c:v>74.999999999999986</c:v>
                </c:pt>
                <c:pt idx="8">
                  <c:v>74.999999999999986</c:v>
                </c:pt>
                <c:pt idx="9">
                  <c:v>99.999999999999986</c:v>
                </c:pt>
                <c:pt idx="10">
                  <c:v>99.999999999999986</c:v>
                </c:pt>
                <c:pt idx="11">
                  <c:v>99.999999999999986</c:v>
                </c:pt>
                <c:pt idx="12">
                  <c:v>99.999999999999986</c:v>
                </c:pt>
                <c:pt idx="13">
                  <c:v>99.999999999999986</c:v>
                </c:pt>
                <c:pt idx="14">
                  <c:v>100</c:v>
                </c:pt>
                <c:pt idx="15">
                  <c:v>100</c:v>
                </c:pt>
              </c:numCache>
            </c:numRef>
          </c:val>
          <c:extLst xmlns:c16r2="http://schemas.microsoft.com/office/drawing/2015/06/chart">
            <c:ext xmlns:c16="http://schemas.microsoft.com/office/drawing/2014/chart" uri="{C3380CC4-5D6E-409C-BE32-E72D297353CC}">
              <c16:uniqueId val="{00000000-304B-4728-960E-321713FDEDF8}"/>
            </c:ext>
          </c:extLst>
        </c:ser>
        <c:dLbls>
          <c:showLegendKey val="0"/>
          <c:showVal val="0"/>
          <c:showCatName val="0"/>
          <c:showSerName val="0"/>
          <c:showPercent val="0"/>
          <c:showBubbleSize val="0"/>
        </c:dLbls>
        <c:gapWidth val="219"/>
        <c:overlap val="-27"/>
        <c:axId val="515978544"/>
        <c:axId val="515980896"/>
      </c:barChart>
      <c:catAx>
        <c:axId val="515978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515980896"/>
        <c:crosses val="autoZero"/>
        <c:auto val="1"/>
        <c:lblAlgn val="ctr"/>
        <c:lblOffset val="100"/>
        <c:noMultiLvlLbl val="0"/>
      </c:catAx>
      <c:valAx>
        <c:axId val="515980896"/>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51597854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sz="1400" b="0" i="0" u="none" strike="noStrike" kern="1200" spc="0" baseline="0">
                <a:solidFill>
                  <a:sysClr val="windowText" lastClr="000000">
                    <a:lumMod val="65000"/>
                    <a:lumOff val="35000"/>
                  </a:sysClr>
                </a:solidFill>
                <a:latin typeface="+mn-lt"/>
                <a:ea typeface="+mn-ea"/>
                <a:cs typeface="+mn-cs"/>
              </a:rPr>
              <a:t>Artículo</a:t>
            </a:r>
            <a:r>
              <a:rPr lang="es-MX"/>
              <a:t> 143 ICP</a:t>
            </a:r>
          </a:p>
        </c:rich>
      </c:tx>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cat>
            <c:strRef>
              <c:f>Hoja1!$A$1:$A$16</c:f>
              <c:strCache>
                <c:ptCount val="16"/>
                <c:pt idx="0">
                  <c:v>Fid. para la Promoción y Desarrollo del Cine Mexicano</c:v>
                </c:pt>
                <c:pt idx="1">
                  <c:v>Fid.Público Complejo Ambiental Xochimilco</c:v>
                </c:pt>
                <c:pt idx="2">
                  <c:v>Fid. Público del Fondo de Apoyo a la Procuración de Justicia </c:v>
                </c:pt>
                <c:pt idx="3">
                  <c:v>Fid. Público de la Zona de Santa Fe</c:v>
                </c:pt>
                <c:pt idx="4">
                  <c:v>Fon. de Desarrollo Económico </c:v>
                </c:pt>
                <c:pt idx="5">
                  <c:v>Fon. Ambiental Público</c:v>
                </c:pt>
                <c:pt idx="6">
                  <c:v>Fid. Fondo para el Desarrollo Económico y Social</c:v>
                </c:pt>
                <c:pt idx="7">
                  <c:v>Fid.Centro Histórico </c:v>
                </c:pt>
                <c:pt idx="8">
                  <c:v>Fid. Museo del Estanquillo</c:v>
                </c:pt>
                <c:pt idx="9">
                  <c:v>Fid. de Recuperación Crediticia </c:v>
                </c:pt>
                <c:pt idx="10">
                  <c:v>Fid. Museo de Arte Popular Mexicano</c:v>
                </c:pt>
                <c:pt idx="11">
                  <c:v>Fid. para el Financiamiento del Transporte Público</c:v>
                </c:pt>
                <c:pt idx="12">
                  <c:v>Fon.Mixto de Promoción Turística</c:v>
                </c:pt>
                <c:pt idx="13">
                  <c:v>Fon. para el Desarrollo Social </c:v>
                </c:pt>
                <c:pt idx="14">
                  <c:v>Fon. para la Atención y Apoyo a las Víctimas del Delito</c:v>
                </c:pt>
                <c:pt idx="15">
                  <c:v>Fid. Educación Garantizada </c:v>
                </c:pt>
              </c:strCache>
            </c:strRef>
          </c:cat>
          <c:val>
            <c:numRef>
              <c:f>Hoja1!$B$1:$B$16</c:f>
              <c:numCache>
                <c:formatCode>0.00</c:formatCode>
                <c:ptCount val="16"/>
                <c:pt idx="0">
                  <c:v>0</c:v>
                </c:pt>
                <c:pt idx="1">
                  <c:v>0</c:v>
                </c:pt>
                <c:pt idx="2">
                  <c:v>50</c:v>
                </c:pt>
                <c:pt idx="3">
                  <c:v>50</c:v>
                </c:pt>
                <c:pt idx="4">
                  <c:v>50</c:v>
                </c:pt>
                <c:pt idx="5">
                  <c:v>54.999999999999986</c:v>
                </c:pt>
                <c:pt idx="6">
                  <c:v>75</c:v>
                </c:pt>
                <c:pt idx="7">
                  <c:v>99.374999999999972</c:v>
                </c:pt>
                <c:pt idx="8">
                  <c:v>99.999999999999972</c:v>
                </c:pt>
                <c:pt idx="9">
                  <c:v>100</c:v>
                </c:pt>
                <c:pt idx="10">
                  <c:v>100</c:v>
                </c:pt>
                <c:pt idx="11">
                  <c:v>100</c:v>
                </c:pt>
                <c:pt idx="12">
                  <c:v>100</c:v>
                </c:pt>
                <c:pt idx="13">
                  <c:v>100</c:v>
                </c:pt>
                <c:pt idx="14">
                  <c:v>100</c:v>
                </c:pt>
                <c:pt idx="15">
                  <c:v>100</c:v>
                </c:pt>
              </c:numCache>
            </c:numRef>
          </c:val>
          <c:extLst xmlns:c16r2="http://schemas.microsoft.com/office/drawing/2015/06/chart">
            <c:ext xmlns:c16="http://schemas.microsoft.com/office/drawing/2014/chart" uri="{C3380CC4-5D6E-409C-BE32-E72D297353CC}">
              <c16:uniqueId val="{00000000-2A19-4D40-8777-413F545640C7}"/>
            </c:ext>
          </c:extLst>
        </c:ser>
        <c:dLbls>
          <c:showLegendKey val="0"/>
          <c:showVal val="0"/>
          <c:showCatName val="0"/>
          <c:showSerName val="0"/>
          <c:showPercent val="0"/>
          <c:showBubbleSize val="0"/>
        </c:dLbls>
        <c:gapWidth val="219"/>
        <c:overlap val="-27"/>
        <c:axId val="515981288"/>
        <c:axId val="515979720"/>
      </c:barChart>
      <c:catAx>
        <c:axId val="515981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515979720"/>
        <c:crosses val="autoZero"/>
        <c:auto val="1"/>
        <c:lblAlgn val="ctr"/>
        <c:lblOffset val="100"/>
        <c:noMultiLvlLbl val="0"/>
      </c:catAx>
      <c:valAx>
        <c:axId val="515979720"/>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51598128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sz="1400" b="0" i="0" u="none" strike="noStrike" kern="1200" spc="0" baseline="0">
                <a:solidFill>
                  <a:sysClr val="windowText" lastClr="000000">
                    <a:lumMod val="65000"/>
                    <a:lumOff val="35000"/>
                  </a:sysClr>
                </a:solidFill>
                <a:latin typeface="+mn-lt"/>
                <a:ea typeface="+mn-ea"/>
                <a:cs typeface="+mn-cs"/>
              </a:rPr>
              <a:t>Artículo</a:t>
            </a:r>
            <a:r>
              <a:rPr lang="es-MX" baseline="0"/>
              <a:t> 145 ICP</a:t>
            </a:r>
            <a:endParaRPr lang="es-MX"/>
          </a:p>
        </c:rich>
      </c:tx>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cat>
            <c:strRef>
              <c:f>Hoja1!$A$1:$A$16</c:f>
              <c:strCache>
                <c:ptCount val="16"/>
                <c:pt idx="0">
                  <c:v>Fid. para la Promoción y Desarrollo del Cine Mexicano</c:v>
                </c:pt>
                <c:pt idx="1">
                  <c:v>Fid.Público Complejo Ambiental Xochimilco</c:v>
                </c:pt>
                <c:pt idx="2">
                  <c:v>Fon. para la Atención y Apoyo a las Víctimas del Delito</c:v>
                </c:pt>
                <c:pt idx="3">
                  <c:v>Fid.Centro Histórico </c:v>
                </c:pt>
                <c:pt idx="4">
                  <c:v>Fid. Educación Garantizada </c:v>
                </c:pt>
                <c:pt idx="5">
                  <c:v>Fid. de Recuperación Crediticia </c:v>
                </c:pt>
                <c:pt idx="6">
                  <c:v>Fid. Fondo para el Desarrollo Económico y Social</c:v>
                </c:pt>
                <c:pt idx="7">
                  <c:v>Fid. Museo de Arte Popular Mexicano</c:v>
                </c:pt>
                <c:pt idx="8">
                  <c:v>Fid. Museo del Estanquillo</c:v>
                </c:pt>
                <c:pt idx="9">
                  <c:v>Fid. para el Financiamiento del Transporte Público</c:v>
                </c:pt>
                <c:pt idx="10">
                  <c:v>Fid. Público del Fondo de Apoyo a la Procuración de Justicia </c:v>
                </c:pt>
                <c:pt idx="11">
                  <c:v>Fid. Público de la Zona de Santa Fe</c:v>
                </c:pt>
                <c:pt idx="12">
                  <c:v>Fon. Ambiental Público</c:v>
                </c:pt>
                <c:pt idx="13">
                  <c:v>Fon. de Desarrollo Económico </c:v>
                </c:pt>
                <c:pt idx="14">
                  <c:v>Fon.Mixto de Promoción Turística</c:v>
                </c:pt>
                <c:pt idx="15">
                  <c:v>Fon. para el Desarrollo Social </c:v>
                </c:pt>
              </c:strCache>
            </c:strRef>
          </c:cat>
          <c:val>
            <c:numRef>
              <c:f>Hoja1!$B$1:$B$16</c:f>
              <c:numCache>
                <c:formatCode>0.00</c:formatCode>
                <c:ptCount val="16"/>
                <c:pt idx="0">
                  <c:v>50</c:v>
                </c:pt>
                <c:pt idx="1">
                  <c:v>50</c:v>
                </c:pt>
                <c:pt idx="2">
                  <c:v>50</c:v>
                </c:pt>
                <c:pt idx="3">
                  <c:v>93.75</c:v>
                </c:pt>
                <c:pt idx="4">
                  <c:v>93.75</c:v>
                </c:pt>
                <c:pt idx="5">
                  <c:v>100</c:v>
                </c:pt>
                <c:pt idx="6">
                  <c:v>100</c:v>
                </c:pt>
                <c:pt idx="7">
                  <c:v>100</c:v>
                </c:pt>
                <c:pt idx="8">
                  <c:v>100</c:v>
                </c:pt>
                <c:pt idx="9">
                  <c:v>100</c:v>
                </c:pt>
                <c:pt idx="10">
                  <c:v>100</c:v>
                </c:pt>
                <c:pt idx="11">
                  <c:v>100</c:v>
                </c:pt>
                <c:pt idx="12">
                  <c:v>100</c:v>
                </c:pt>
                <c:pt idx="13">
                  <c:v>100</c:v>
                </c:pt>
                <c:pt idx="14">
                  <c:v>100</c:v>
                </c:pt>
                <c:pt idx="15">
                  <c:v>100</c:v>
                </c:pt>
              </c:numCache>
            </c:numRef>
          </c:val>
          <c:extLst xmlns:c16r2="http://schemas.microsoft.com/office/drawing/2015/06/chart">
            <c:ext xmlns:c16="http://schemas.microsoft.com/office/drawing/2014/chart" uri="{C3380CC4-5D6E-409C-BE32-E72D297353CC}">
              <c16:uniqueId val="{00000000-87FF-4D00-9546-9BA16A7BACD7}"/>
            </c:ext>
          </c:extLst>
        </c:ser>
        <c:dLbls>
          <c:showLegendKey val="0"/>
          <c:showVal val="0"/>
          <c:showCatName val="0"/>
          <c:showSerName val="0"/>
          <c:showPercent val="0"/>
          <c:showBubbleSize val="0"/>
        </c:dLbls>
        <c:gapWidth val="219"/>
        <c:overlap val="-27"/>
        <c:axId val="460799248"/>
        <c:axId val="460799640"/>
      </c:barChart>
      <c:catAx>
        <c:axId val="460799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460799640"/>
        <c:crosses val="autoZero"/>
        <c:auto val="1"/>
        <c:lblAlgn val="ctr"/>
        <c:lblOffset val="100"/>
        <c:noMultiLvlLbl val="0"/>
      </c:catAx>
      <c:valAx>
        <c:axId val="460799640"/>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46079924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sz="1400" b="0" i="0" u="none" strike="noStrike" kern="1200" spc="0" baseline="0">
                <a:solidFill>
                  <a:sysClr val="windowText" lastClr="000000">
                    <a:lumMod val="65000"/>
                    <a:lumOff val="35000"/>
                  </a:sysClr>
                </a:solidFill>
                <a:latin typeface="+mn-lt"/>
                <a:ea typeface="+mn-ea"/>
                <a:cs typeface="+mn-cs"/>
              </a:rPr>
              <a:t>Artículo</a:t>
            </a:r>
            <a:r>
              <a:rPr lang="es-MX"/>
              <a:t> 146 ICP</a:t>
            </a:r>
          </a:p>
        </c:rich>
      </c:tx>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cat>
            <c:strRef>
              <c:f>Hoja1!$A$1:$A$16</c:f>
              <c:strCache>
                <c:ptCount val="16"/>
                <c:pt idx="0">
                  <c:v>Fid. para el Financiamiento del Transporte Público</c:v>
                </c:pt>
                <c:pt idx="1">
                  <c:v>Fid. para la Promoción y Desarrollo del Cine Mexicano</c:v>
                </c:pt>
                <c:pt idx="2">
                  <c:v>Fid.Público Complejo Ambiental Xochimilco</c:v>
                </c:pt>
                <c:pt idx="3">
                  <c:v>Fid. Público del Fondo de Apoyo a la Procuración de Justicia </c:v>
                </c:pt>
                <c:pt idx="4">
                  <c:v>Fid. Público de la Zona de Santa Fe</c:v>
                </c:pt>
                <c:pt idx="5">
                  <c:v>Fid. de Recuperación Crediticia </c:v>
                </c:pt>
                <c:pt idx="6">
                  <c:v>Fid. Fondo para el Desarrollo Económico y Social</c:v>
                </c:pt>
                <c:pt idx="7">
                  <c:v>Fon. de Desarrollo Económico </c:v>
                </c:pt>
                <c:pt idx="8">
                  <c:v>Fon. para el Desarrollo Social </c:v>
                </c:pt>
                <c:pt idx="9">
                  <c:v>Fon. para la Atención y Apoyo a las Víctimas del Delito</c:v>
                </c:pt>
                <c:pt idx="10">
                  <c:v>Fid. Educación Garantizada </c:v>
                </c:pt>
                <c:pt idx="11">
                  <c:v>Fid. Museo del Estanquillo</c:v>
                </c:pt>
                <c:pt idx="12">
                  <c:v>Fon. Ambiental Público</c:v>
                </c:pt>
                <c:pt idx="13">
                  <c:v>Fid.Centro Histórico </c:v>
                </c:pt>
                <c:pt idx="14">
                  <c:v>Fid. Museo de Arte Popular Mexicano</c:v>
                </c:pt>
                <c:pt idx="15">
                  <c:v>Fon.Mixto de Promoción Turística</c:v>
                </c:pt>
              </c:strCache>
            </c:strRef>
          </c:cat>
          <c:val>
            <c:numRef>
              <c:f>Hoja1!$B$1:$B$16</c:f>
              <c:numCache>
                <c:formatCode>0.00</c:formatCode>
                <c:ptCount val="16"/>
                <c:pt idx="0">
                  <c:v>0</c:v>
                </c:pt>
                <c:pt idx="1">
                  <c:v>0</c:v>
                </c:pt>
                <c:pt idx="2">
                  <c:v>0</c:v>
                </c:pt>
                <c:pt idx="3">
                  <c:v>0</c:v>
                </c:pt>
                <c:pt idx="4">
                  <c:v>0</c:v>
                </c:pt>
                <c:pt idx="5">
                  <c:v>50.000000000000007</c:v>
                </c:pt>
                <c:pt idx="6">
                  <c:v>50.000000000000007</c:v>
                </c:pt>
                <c:pt idx="7">
                  <c:v>50.000000000000007</c:v>
                </c:pt>
                <c:pt idx="8">
                  <c:v>50.000000000000007</c:v>
                </c:pt>
                <c:pt idx="9">
                  <c:v>50.000000000000007</c:v>
                </c:pt>
                <c:pt idx="10">
                  <c:v>50.000000000000007</c:v>
                </c:pt>
                <c:pt idx="11">
                  <c:v>55.000000000000007</c:v>
                </c:pt>
                <c:pt idx="12">
                  <c:v>55.000000000000007</c:v>
                </c:pt>
                <c:pt idx="13">
                  <c:v>100.00000000000001</c:v>
                </c:pt>
                <c:pt idx="14">
                  <c:v>100.00000000000001</c:v>
                </c:pt>
                <c:pt idx="15">
                  <c:v>100.00000000000001</c:v>
                </c:pt>
              </c:numCache>
            </c:numRef>
          </c:val>
          <c:extLst xmlns:c16r2="http://schemas.microsoft.com/office/drawing/2015/06/chart">
            <c:ext xmlns:c16="http://schemas.microsoft.com/office/drawing/2014/chart" uri="{C3380CC4-5D6E-409C-BE32-E72D297353CC}">
              <c16:uniqueId val="{00000000-06E7-4C44-8FA1-05B24A5E39B6}"/>
            </c:ext>
          </c:extLst>
        </c:ser>
        <c:dLbls>
          <c:showLegendKey val="0"/>
          <c:showVal val="0"/>
          <c:showCatName val="0"/>
          <c:showSerName val="0"/>
          <c:showPercent val="0"/>
          <c:showBubbleSize val="0"/>
        </c:dLbls>
        <c:gapWidth val="219"/>
        <c:overlap val="-27"/>
        <c:axId val="333825888"/>
        <c:axId val="333826280"/>
      </c:barChart>
      <c:catAx>
        <c:axId val="333825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33826280"/>
        <c:crosses val="autoZero"/>
        <c:auto val="1"/>
        <c:lblAlgn val="ctr"/>
        <c:lblOffset val="100"/>
        <c:noMultiLvlLbl val="0"/>
      </c:catAx>
      <c:valAx>
        <c:axId val="333826280"/>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3382588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sz="1400" b="0" i="0" u="none" strike="noStrike" kern="1200" spc="0" baseline="0">
                <a:solidFill>
                  <a:sysClr val="windowText" lastClr="000000">
                    <a:lumMod val="65000"/>
                    <a:lumOff val="35000"/>
                  </a:sysClr>
                </a:solidFill>
                <a:latin typeface="+mn-lt"/>
                <a:ea typeface="+mn-ea"/>
                <a:cs typeface="+mn-cs"/>
              </a:rPr>
              <a:t>Artículo</a:t>
            </a:r>
            <a:r>
              <a:rPr lang="es-MX" baseline="0"/>
              <a:t> 147 ICP</a:t>
            </a:r>
            <a:endParaRPr lang="es-MX"/>
          </a:p>
        </c:rich>
      </c:tx>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cat>
            <c:strRef>
              <c:f>Hoja1!$A$1:$A$16</c:f>
              <c:strCache>
                <c:ptCount val="16"/>
                <c:pt idx="0">
                  <c:v>Fid. Fondo para el Desarrollo Económico y Social</c:v>
                </c:pt>
                <c:pt idx="1">
                  <c:v>Fid. para la Promoción y Desarrollo del Cine Mexicano</c:v>
                </c:pt>
                <c:pt idx="2">
                  <c:v>Fon. Ambiental Público</c:v>
                </c:pt>
                <c:pt idx="3">
                  <c:v>Fid. Público del Fondo de Apoyo a la Procuración de Justicia </c:v>
                </c:pt>
                <c:pt idx="4">
                  <c:v>Fon. de Desarrollo Económico </c:v>
                </c:pt>
                <c:pt idx="5">
                  <c:v>Fid. Museo del Estanquillo</c:v>
                </c:pt>
                <c:pt idx="6">
                  <c:v>Fid.Centro Histórico </c:v>
                </c:pt>
                <c:pt idx="7">
                  <c:v>Fid. de Recuperación Crediticia </c:v>
                </c:pt>
                <c:pt idx="8">
                  <c:v>Fid. Museo de Arte Popular Mexicano</c:v>
                </c:pt>
                <c:pt idx="9">
                  <c:v>Fid. para el Financiamiento del Transporte Público</c:v>
                </c:pt>
                <c:pt idx="10">
                  <c:v>Fid.Público Complejo Ambiental Xochimilco</c:v>
                </c:pt>
                <c:pt idx="11">
                  <c:v>Fid. Público de la Zona de Santa Fe</c:v>
                </c:pt>
                <c:pt idx="12">
                  <c:v>Fon.Mixto de Promoción Turística</c:v>
                </c:pt>
                <c:pt idx="13">
                  <c:v>Fon. para el Desarrollo Social </c:v>
                </c:pt>
                <c:pt idx="14">
                  <c:v>Fon. para la Atención y Apoyo a las Víctimas del Delito</c:v>
                </c:pt>
                <c:pt idx="15">
                  <c:v>Fid. Educación Garantizada </c:v>
                </c:pt>
              </c:strCache>
            </c:strRef>
          </c:cat>
          <c:val>
            <c:numRef>
              <c:f>Hoja1!$B$1:$B$16</c:f>
              <c:numCache>
                <c:formatCode>0.00</c:formatCode>
                <c:ptCount val="16"/>
                <c:pt idx="0">
                  <c:v>0</c:v>
                </c:pt>
                <c:pt idx="1">
                  <c:v>0</c:v>
                </c:pt>
                <c:pt idx="2">
                  <c:v>10</c:v>
                </c:pt>
                <c:pt idx="3">
                  <c:v>50</c:v>
                </c:pt>
                <c:pt idx="4">
                  <c:v>50</c:v>
                </c:pt>
                <c:pt idx="5">
                  <c:v>99.999999999999986</c:v>
                </c:pt>
                <c:pt idx="6">
                  <c:v>100</c:v>
                </c:pt>
                <c:pt idx="7">
                  <c:v>100</c:v>
                </c:pt>
                <c:pt idx="8">
                  <c:v>100</c:v>
                </c:pt>
                <c:pt idx="9">
                  <c:v>100</c:v>
                </c:pt>
                <c:pt idx="10">
                  <c:v>100</c:v>
                </c:pt>
                <c:pt idx="11">
                  <c:v>100</c:v>
                </c:pt>
                <c:pt idx="12">
                  <c:v>100</c:v>
                </c:pt>
                <c:pt idx="13">
                  <c:v>100</c:v>
                </c:pt>
                <c:pt idx="14">
                  <c:v>100</c:v>
                </c:pt>
                <c:pt idx="15">
                  <c:v>100</c:v>
                </c:pt>
              </c:numCache>
            </c:numRef>
          </c:val>
          <c:extLst xmlns:c16r2="http://schemas.microsoft.com/office/drawing/2015/06/chart">
            <c:ext xmlns:c16="http://schemas.microsoft.com/office/drawing/2014/chart" uri="{C3380CC4-5D6E-409C-BE32-E72D297353CC}">
              <c16:uniqueId val="{00000000-A2E4-486F-A4AD-100078E3D253}"/>
            </c:ext>
          </c:extLst>
        </c:ser>
        <c:dLbls>
          <c:showLegendKey val="0"/>
          <c:showVal val="0"/>
          <c:showCatName val="0"/>
          <c:showSerName val="0"/>
          <c:showPercent val="0"/>
          <c:showBubbleSize val="0"/>
        </c:dLbls>
        <c:gapWidth val="219"/>
        <c:overlap val="-27"/>
        <c:axId val="333827064"/>
        <c:axId val="289904128"/>
      </c:barChart>
      <c:catAx>
        <c:axId val="333827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289904128"/>
        <c:crosses val="autoZero"/>
        <c:auto val="1"/>
        <c:lblAlgn val="ctr"/>
        <c:lblOffset val="100"/>
        <c:noMultiLvlLbl val="0"/>
      </c:catAx>
      <c:valAx>
        <c:axId val="289904128"/>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3382706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sz="1400" b="0" i="0" u="none" strike="noStrike" kern="1200" spc="0" baseline="0">
                <a:solidFill>
                  <a:sysClr val="windowText" lastClr="000000">
                    <a:lumMod val="65000"/>
                    <a:lumOff val="35000"/>
                  </a:sysClr>
                </a:solidFill>
                <a:latin typeface="+mn-lt"/>
                <a:ea typeface="+mn-ea"/>
                <a:cs typeface="+mn-cs"/>
              </a:rPr>
              <a:t>Artículo</a:t>
            </a:r>
            <a:r>
              <a:rPr lang="es-MX" baseline="0"/>
              <a:t> 121 ICP</a:t>
            </a:r>
            <a:endParaRPr lang="es-MX"/>
          </a:p>
        </c:rich>
      </c:tx>
      <c:overlay val="0"/>
      <c:spPr>
        <a:noFill/>
        <a:ln>
          <a:noFill/>
        </a:ln>
        <a:effectLst/>
      </c:spPr>
    </c:title>
    <c:autoTitleDeleted val="0"/>
    <c:plotArea>
      <c:layout>
        <c:manualLayout>
          <c:layoutTarget val="inner"/>
          <c:xMode val="edge"/>
          <c:yMode val="edge"/>
          <c:x val="7.9247594050743664E-2"/>
          <c:y val="0.15782407407407409"/>
          <c:w val="0.89019685039370078"/>
          <c:h val="0.72088764946048411"/>
        </c:manualLayout>
      </c:layout>
      <c:barChart>
        <c:barDir val="col"/>
        <c:grouping val="clustered"/>
        <c:varyColors val="0"/>
        <c:ser>
          <c:idx val="0"/>
          <c:order val="0"/>
          <c:spPr>
            <a:solidFill>
              <a:schemeClr val="accent1"/>
            </a:solidFill>
            <a:ln>
              <a:noFill/>
            </a:ln>
            <a:effectLst/>
          </c:spPr>
          <c:invertIfNegative val="0"/>
          <c:cat>
            <c:strRef>
              <c:f>Hoja1!$A$1:$A$2</c:f>
              <c:strCache>
                <c:ptCount val="2"/>
                <c:pt idx="0">
                  <c:v>Asamblea Legislativa del Distrito Federal</c:v>
                </c:pt>
                <c:pt idx="1">
                  <c:v>Auditoría Superior de la Ciudad de México</c:v>
                </c:pt>
              </c:strCache>
            </c:strRef>
          </c:cat>
          <c:val>
            <c:numRef>
              <c:f>Hoja1!$B$1:$B$2</c:f>
              <c:numCache>
                <c:formatCode>0.00</c:formatCode>
                <c:ptCount val="2"/>
                <c:pt idx="0">
                  <c:v>57.130952380952408</c:v>
                </c:pt>
                <c:pt idx="1">
                  <c:v>65.594907407407391</c:v>
                </c:pt>
              </c:numCache>
            </c:numRef>
          </c:val>
          <c:extLst xmlns:c16r2="http://schemas.microsoft.com/office/drawing/2015/06/chart">
            <c:ext xmlns:c16="http://schemas.microsoft.com/office/drawing/2014/chart" uri="{C3380CC4-5D6E-409C-BE32-E72D297353CC}">
              <c16:uniqueId val="{00000000-78AA-481C-8A22-1866B297B3DD}"/>
            </c:ext>
          </c:extLst>
        </c:ser>
        <c:dLbls>
          <c:showLegendKey val="0"/>
          <c:showVal val="0"/>
          <c:showCatName val="0"/>
          <c:showSerName val="0"/>
          <c:showPercent val="0"/>
          <c:showBubbleSize val="0"/>
        </c:dLbls>
        <c:gapWidth val="219"/>
        <c:overlap val="-27"/>
        <c:axId val="521107304"/>
        <c:axId val="553732592"/>
      </c:barChart>
      <c:catAx>
        <c:axId val="521107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553732592"/>
        <c:crosses val="autoZero"/>
        <c:auto val="1"/>
        <c:lblAlgn val="ctr"/>
        <c:lblOffset val="100"/>
        <c:noMultiLvlLbl val="0"/>
      </c:catAx>
      <c:valAx>
        <c:axId val="553732592"/>
        <c:scaling>
          <c:orientation val="minMax"/>
          <c:max val="100"/>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52110730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sz="1400" b="0" i="0" u="none" strike="noStrike" kern="1200" spc="0" baseline="0">
                <a:solidFill>
                  <a:sysClr val="windowText" lastClr="000000">
                    <a:lumMod val="65000"/>
                    <a:lumOff val="35000"/>
                  </a:sysClr>
                </a:solidFill>
                <a:latin typeface="+mn-lt"/>
                <a:ea typeface="+mn-ea"/>
                <a:cs typeface="+mn-cs"/>
              </a:rPr>
              <a:t>Artículo</a:t>
            </a:r>
            <a:r>
              <a:rPr lang="es-MX"/>
              <a:t> 143 ICP</a:t>
            </a:r>
          </a:p>
        </c:rich>
      </c:tx>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cat>
            <c:strRef>
              <c:f>Hoja1!$A$1:$A$2</c:f>
              <c:strCache>
                <c:ptCount val="2"/>
                <c:pt idx="0">
                  <c:v>Asamblea Legislativa del Distrito Federal</c:v>
                </c:pt>
                <c:pt idx="1">
                  <c:v>Auditoría Superior de la Ciudad de México</c:v>
                </c:pt>
              </c:strCache>
            </c:strRef>
          </c:cat>
          <c:val>
            <c:numRef>
              <c:f>Hoja1!$B$1:$B$2</c:f>
              <c:numCache>
                <c:formatCode>0.00</c:formatCode>
                <c:ptCount val="2"/>
                <c:pt idx="0">
                  <c:v>57.130952380952408</c:v>
                </c:pt>
                <c:pt idx="1">
                  <c:v>65.594907407407391</c:v>
                </c:pt>
              </c:numCache>
            </c:numRef>
          </c:val>
          <c:extLst xmlns:c16r2="http://schemas.microsoft.com/office/drawing/2015/06/chart">
            <c:ext xmlns:c16="http://schemas.microsoft.com/office/drawing/2014/chart" uri="{C3380CC4-5D6E-409C-BE32-E72D297353CC}">
              <c16:uniqueId val="{00000000-28D2-47C5-9CFD-B7FDD2BAD50A}"/>
            </c:ext>
          </c:extLst>
        </c:ser>
        <c:dLbls>
          <c:showLegendKey val="0"/>
          <c:showVal val="0"/>
          <c:showCatName val="0"/>
          <c:showSerName val="0"/>
          <c:showPercent val="0"/>
          <c:showBubbleSize val="0"/>
        </c:dLbls>
        <c:gapWidth val="219"/>
        <c:overlap val="-27"/>
        <c:axId val="553733376"/>
        <c:axId val="553733768"/>
      </c:barChart>
      <c:catAx>
        <c:axId val="553733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553733768"/>
        <c:crosses val="autoZero"/>
        <c:auto val="1"/>
        <c:lblAlgn val="ctr"/>
        <c:lblOffset val="100"/>
        <c:noMultiLvlLbl val="0"/>
      </c:catAx>
      <c:valAx>
        <c:axId val="553733768"/>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55373337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4078A9-1532-4817-B85B-03E916AF0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122</Pages>
  <Words>22563</Words>
  <Characters>124099</Characters>
  <Application>Microsoft Office Word</Application>
  <DocSecurity>0</DocSecurity>
  <Lines>1034</Lines>
  <Paragraphs>292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146370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Aldo Antonio Trapero Maldonado</dc:creator>
  <cp:lastModifiedBy>Aldo Antonio Trapero Maldonado</cp:lastModifiedBy>
  <cp:revision>6</cp:revision>
  <dcterms:created xsi:type="dcterms:W3CDTF">2019-08-07T01:58:00Z</dcterms:created>
  <dcterms:modified xsi:type="dcterms:W3CDTF">2019-08-07T04:40:00Z</dcterms:modified>
</cp:coreProperties>
</file>