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3EDC6" w14:textId="77777777" w:rsidR="00CE44AE" w:rsidRDefault="00046FEA">
      <w:pPr>
        <w:jc w:val="center"/>
        <w:rPr>
          <w:rFonts w:ascii="Arial" w:eastAsia="Arial" w:hAnsi="Arial" w:cs="Arial"/>
          <w:b/>
          <w:sz w:val="22"/>
          <w:szCs w:val="22"/>
        </w:rPr>
      </w:pPr>
      <w:r>
        <w:rPr>
          <w:rFonts w:ascii="Arial" w:eastAsia="Arial" w:hAnsi="Arial" w:cs="Arial"/>
          <w:b/>
          <w:sz w:val="22"/>
          <w:szCs w:val="22"/>
        </w:rPr>
        <w:t>Evaluación de Solventación 2020</w:t>
      </w:r>
    </w:p>
    <w:p w14:paraId="6D45BBD7" w14:textId="77777777" w:rsidR="00CE44AE" w:rsidRDefault="00046FEA">
      <w:pPr>
        <w:spacing w:line="276" w:lineRule="auto"/>
        <w:jc w:val="center"/>
        <w:rPr>
          <w:rFonts w:ascii="Arial" w:eastAsia="Arial" w:hAnsi="Arial" w:cs="Arial"/>
          <w:sz w:val="22"/>
          <w:szCs w:val="22"/>
        </w:rPr>
      </w:pPr>
      <w:r>
        <w:rPr>
          <w:rFonts w:ascii="Arial" w:eastAsia="Arial" w:hAnsi="Arial" w:cs="Arial"/>
          <w:sz w:val="22"/>
          <w:szCs w:val="22"/>
        </w:rPr>
        <w:t>Tercera Evaluación Vinculante 2020, de solventación del ejercicio 2019</w:t>
      </w:r>
    </w:p>
    <w:p w14:paraId="27440B23" w14:textId="77777777" w:rsidR="00CE44AE" w:rsidRDefault="00046FEA">
      <w:pPr>
        <w:numPr>
          <w:ilvl w:val="0"/>
          <w:numId w:val="1"/>
        </w:numPr>
        <w:pBdr>
          <w:top w:val="nil"/>
          <w:left w:val="nil"/>
          <w:bottom w:val="nil"/>
          <w:right w:val="nil"/>
          <w:between w:val="nil"/>
        </w:pBdr>
        <w:spacing w:before="240" w:line="276" w:lineRule="auto"/>
        <w:jc w:val="both"/>
        <w:rPr>
          <w:rFonts w:ascii="Arial" w:eastAsia="Arial" w:hAnsi="Arial" w:cs="Arial"/>
          <w:color w:val="000000"/>
          <w:sz w:val="22"/>
          <w:szCs w:val="22"/>
        </w:rPr>
      </w:pPr>
      <w:r>
        <w:rPr>
          <w:rFonts w:ascii="Arial" w:eastAsia="Arial" w:hAnsi="Arial" w:cs="Arial"/>
          <w:color w:val="000000"/>
          <w:sz w:val="22"/>
          <w:szCs w:val="22"/>
        </w:rPr>
        <w:t>Del 29 de octubre al 25 de noviembre del 2020, el INFO, a través de la Dirección de Estado Abierto, Estudios y Evaluación (DEAEE) realizó la Evaluación de Solventación o Tercera Evaluación Vinculante 2020</w:t>
      </w:r>
      <w:r>
        <w:rPr>
          <w:rFonts w:ascii="Arial" w:eastAsia="Arial" w:hAnsi="Arial" w:cs="Arial"/>
          <w:sz w:val="22"/>
          <w:szCs w:val="22"/>
        </w:rPr>
        <w:t>.</w:t>
      </w:r>
    </w:p>
    <w:p w14:paraId="786C0412" w14:textId="77777777" w:rsidR="00CE44AE" w:rsidRDefault="00046FEA">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Se verificó la atención, por parte de 119 sujetos </w:t>
      </w:r>
      <w:r>
        <w:rPr>
          <w:rFonts w:ascii="Arial" w:eastAsia="Arial" w:hAnsi="Arial" w:cs="Arial"/>
          <w:color w:val="000000"/>
          <w:sz w:val="22"/>
          <w:szCs w:val="22"/>
        </w:rPr>
        <w:t xml:space="preserve">obligados a </w:t>
      </w:r>
      <w:r>
        <w:rPr>
          <w:rFonts w:ascii="Arial" w:eastAsia="Arial" w:hAnsi="Arial" w:cs="Arial"/>
          <w:b/>
          <w:color w:val="000000"/>
          <w:sz w:val="22"/>
          <w:szCs w:val="22"/>
        </w:rPr>
        <w:t>las recomendaciones y observaciones derivadas de la 2da Evaluación Vinculante 2020</w:t>
      </w:r>
      <w:r>
        <w:rPr>
          <w:rFonts w:ascii="Arial" w:eastAsia="Arial" w:hAnsi="Arial" w:cs="Arial"/>
          <w:color w:val="000000"/>
          <w:sz w:val="22"/>
          <w:szCs w:val="22"/>
        </w:rPr>
        <w:t xml:space="preserve"> para el cumplimiento de las obligaciones de transparencia que deben mantener publicadas y actualizadas en su portal de Internet y en la Plataforma Nacional de Tr</w:t>
      </w:r>
      <w:r>
        <w:rPr>
          <w:rFonts w:ascii="Arial" w:eastAsia="Arial" w:hAnsi="Arial" w:cs="Arial"/>
          <w:color w:val="000000"/>
          <w:sz w:val="22"/>
          <w:szCs w:val="22"/>
        </w:rPr>
        <w:t xml:space="preserve">ansparencia </w:t>
      </w:r>
      <w:r>
        <w:rPr>
          <w:rFonts w:ascii="Arial" w:eastAsia="Arial" w:hAnsi="Arial" w:cs="Arial"/>
          <w:b/>
          <w:color w:val="000000"/>
          <w:sz w:val="22"/>
          <w:szCs w:val="22"/>
        </w:rPr>
        <w:t>del ejercicio 2019</w:t>
      </w:r>
      <w:r>
        <w:rPr>
          <w:rFonts w:ascii="Arial" w:eastAsia="Arial" w:hAnsi="Arial" w:cs="Arial"/>
          <w:color w:val="000000"/>
          <w:sz w:val="22"/>
          <w:szCs w:val="22"/>
        </w:rPr>
        <w:t>.</w:t>
      </w:r>
    </w:p>
    <w:p w14:paraId="62E515E1" w14:textId="77777777" w:rsidR="00CE44AE" w:rsidRDefault="00046FEA">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Resultado de las solventación de observaciones, los sujetos obligados </w:t>
      </w:r>
      <w:r>
        <w:rPr>
          <w:rFonts w:ascii="Arial" w:eastAsia="Arial" w:hAnsi="Arial" w:cs="Arial"/>
          <w:b/>
          <w:color w:val="000000"/>
          <w:sz w:val="22"/>
          <w:szCs w:val="22"/>
        </w:rPr>
        <w:t>incrementaron su índice</w:t>
      </w:r>
      <w:r>
        <w:rPr>
          <w:rFonts w:ascii="Arial" w:eastAsia="Arial" w:hAnsi="Arial" w:cs="Arial"/>
          <w:color w:val="000000"/>
          <w:sz w:val="22"/>
          <w:szCs w:val="22"/>
        </w:rPr>
        <w:t xml:space="preserve"> global de cumplimiento a las obligaciones de transparencia (</w:t>
      </w:r>
      <w:r>
        <w:rPr>
          <w:rFonts w:ascii="Arial" w:eastAsia="Arial" w:hAnsi="Arial" w:cs="Arial"/>
          <w:b/>
          <w:color w:val="000000"/>
          <w:sz w:val="22"/>
          <w:szCs w:val="22"/>
        </w:rPr>
        <w:t>IGOT</w:t>
      </w:r>
      <w:r>
        <w:rPr>
          <w:rFonts w:ascii="Arial" w:eastAsia="Arial" w:hAnsi="Arial" w:cs="Arial"/>
          <w:color w:val="000000"/>
          <w:sz w:val="22"/>
          <w:szCs w:val="22"/>
        </w:rPr>
        <w:t xml:space="preserve">) </w:t>
      </w:r>
      <w:r>
        <w:rPr>
          <w:rFonts w:ascii="Arial" w:eastAsia="Arial" w:hAnsi="Arial" w:cs="Arial"/>
          <w:b/>
          <w:color w:val="000000"/>
          <w:sz w:val="22"/>
          <w:szCs w:val="22"/>
        </w:rPr>
        <w:t xml:space="preserve">promedio </w:t>
      </w:r>
      <w:r>
        <w:rPr>
          <w:rFonts w:ascii="Arial" w:eastAsia="Arial" w:hAnsi="Arial" w:cs="Arial"/>
          <w:color w:val="000000"/>
          <w:sz w:val="22"/>
          <w:szCs w:val="22"/>
        </w:rPr>
        <w:t xml:space="preserve">al pasar de 66.5 a </w:t>
      </w:r>
      <w:r>
        <w:rPr>
          <w:rFonts w:ascii="Arial" w:eastAsia="Arial" w:hAnsi="Arial" w:cs="Arial"/>
          <w:b/>
          <w:color w:val="000000"/>
          <w:sz w:val="22"/>
          <w:szCs w:val="22"/>
        </w:rPr>
        <w:t>75.4</w:t>
      </w:r>
      <w:r>
        <w:rPr>
          <w:rFonts w:ascii="Arial" w:eastAsia="Arial" w:hAnsi="Arial" w:cs="Arial"/>
          <w:color w:val="000000"/>
          <w:sz w:val="22"/>
          <w:szCs w:val="22"/>
        </w:rPr>
        <w:t xml:space="preserve">; es decir, un </w:t>
      </w:r>
      <w:r>
        <w:rPr>
          <w:rFonts w:ascii="Arial" w:eastAsia="Arial" w:hAnsi="Arial" w:cs="Arial"/>
          <w:b/>
          <w:color w:val="000000"/>
          <w:sz w:val="22"/>
          <w:szCs w:val="22"/>
        </w:rPr>
        <w:t>aumento de 8.9 pu</w:t>
      </w:r>
      <w:r>
        <w:rPr>
          <w:rFonts w:ascii="Arial" w:eastAsia="Arial" w:hAnsi="Arial" w:cs="Arial"/>
          <w:b/>
          <w:color w:val="000000"/>
          <w:sz w:val="22"/>
          <w:szCs w:val="22"/>
        </w:rPr>
        <w:t>ntos</w:t>
      </w:r>
      <w:r>
        <w:rPr>
          <w:rFonts w:ascii="Arial" w:eastAsia="Arial" w:hAnsi="Arial" w:cs="Arial"/>
          <w:color w:val="000000"/>
          <w:sz w:val="22"/>
          <w:szCs w:val="22"/>
        </w:rPr>
        <w:t>.</w:t>
      </w:r>
    </w:p>
    <w:p w14:paraId="098555F2" w14:textId="77777777" w:rsidR="00CE44AE" w:rsidRDefault="00046FEA">
      <w:pPr>
        <w:numPr>
          <w:ilvl w:val="0"/>
          <w:numId w:val="1"/>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Del 2 al 28 de octubre (periodo establecido por el Pleno para atender las recomendaciones) la DEAEE acompañó a los sujetos obligados a través de </w:t>
      </w:r>
      <w:r>
        <w:rPr>
          <w:rFonts w:ascii="Arial" w:eastAsia="Arial" w:hAnsi="Arial" w:cs="Arial"/>
          <w:b/>
          <w:sz w:val="22"/>
          <w:szCs w:val="22"/>
        </w:rPr>
        <w:t xml:space="preserve">80 asesorías técnicas especializadas </w:t>
      </w:r>
      <w:r>
        <w:rPr>
          <w:rFonts w:ascii="Arial" w:eastAsia="Arial" w:hAnsi="Arial" w:cs="Arial"/>
          <w:sz w:val="22"/>
          <w:szCs w:val="22"/>
        </w:rPr>
        <w:t xml:space="preserve">que se brindaron a </w:t>
      </w:r>
      <w:r>
        <w:rPr>
          <w:rFonts w:ascii="Arial" w:eastAsia="Arial" w:hAnsi="Arial" w:cs="Arial"/>
          <w:b/>
          <w:sz w:val="22"/>
          <w:szCs w:val="22"/>
        </w:rPr>
        <w:t>33 sujetos obligados</w:t>
      </w:r>
      <w:r>
        <w:rPr>
          <w:rFonts w:ascii="Arial" w:eastAsia="Arial" w:hAnsi="Arial" w:cs="Arial"/>
          <w:sz w:val="22"/>
          <w:szCs w:val="22"/>
        </w:rPr>
        <w:t>. Destaca que todos los sujet</w:t>
      </w:r>
      <w:r>
        <w:rPr>
          <w:rFonts w:ascii="Arial" w:eastAsia="Arial" w:hAnsi="Arial" w:cs="Arial"/>
          <w:sz w:val="22"/>
          <w:szCs w:val="22"/>
        </w:rPr>
        <w:t>os obligados que recibieron asesoría técnica tuvieron un incremento mayor en su nivel de cumplimiento de obligaciones de transparencia que los que no recibieron asesoría, lo que da prueba de la eficacia de esta estrategia para abatir el incumplimiento prev</w:t>
      </w:r>
      <w:r>
        <w:rPr>
          <w:rFonts w:ascii="Arial" w:eastAsia="Arial" w:hAnsi="Arial" w:cs="Arial"/>
          <w:sz w:val="22"/>
          <w:szCs w:val="22"/>
        </w:rPr>
        <w:t xml:space="preserve">ista en el </w:t>
      </w:r>
      <w:r>
        <w:rPr>
          <w:rFonts w:ascii="Arial" w:eastAsia="Arial" w:hAnsi="Arial" w:cs="Arial"/>
          <w:i/>
          <w:sz w:val="22"/>
          <w:szCs w:val="22"/>
        </w:rPr>
        <w:t>Plan Estratégico para Desarrollar la Agenda de Estado Abierto desde el Instituto 2019-2025</w:t>
      </w:r>
      <w:r>
        <w:rPr>
          <w:rFonts w:ascii="Arial" w:eastAsia="Arial" w:hAnsi="Arial" w:cs="Arial"/>
          <w:sz w:val="22"/>
          <w:szCs w:val="22"/>
        </w:rPr>
        <w:t xml:space="preserve">.   </w:t>
      </w:r>
    </w:p>
    <w:p w14:paraId="5B3EEC65" w14:textId="77777777" w:rsidR="00CE44AE" w:rsidRDefault="00046FEA">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sz w:val="22"/>
          <w:szCs w:val="22"/>
        </w:rPr>
        <w:t xml:space="preserve">El </w:t>
      </w:r>
      <w:r>
        <w:rPr>
          <w:rFonts w:ascii="Arial" w:eastAsia="Arial" w:hAnsi="Arial" w:cs="Arial"/>
          <w:b/>
          <w:sz w:val="22"/>
          <w:szCs w:val="22"/>
        </w:rPr>
        <w:t>ámbito de gobierno</w:t>
      </w:r>
      <w:r>
        <w:rPr>
          <w:rFonts w:ascii="Arial" w:eastAsia="Arial" w:hAnsi="Arial" w:cs="Arial"/>
          <w:sz w:val="22"/>
          <w:szCs w:val="22"/>
        </w:rPr>
        <w:t xml:space="preserve"> q</w:t>
      </w:r>
      <w:r>
        <w:rPr>
          <w:rFonts w:ascii="Arial" w:eastAsia="Arial" w:hAnsi="Arial" w:cs="Arial"/>
          <w:sz w:val="22"/>
          <w:szCs w:val="22"/>
        </w:rPr>
        <w:t xml:space="preserve">ue más mejoró fue el de los órganos desconcentrados, descentralizados, fondos y fideicomisos que pasó de 73.7 a 86.1 puntos con un avance de 12.3 puntos; después las 11 alcaldías que pasaron de 90.1 a 97.7; los partidos políticos que mejoraron 7 puntos al </w:t>
      </w:r>
      <w:r>
        <w:rPr>
          <w:rFonts w:ascii="Arial" w:eastAsia="Arial" w:hAnsi="Arial" w:cs="Arial"/>
          <w:sz w:val="22"/>
          <w:szCs w:val="22"/>
        </w:rPr>
        <w:t xml:space="preserve">pasar de 54.4 al 61.5 y la administración pública central pasó de 90.1 a </w:t>
      </w:r>
      <w:proofErr w:type="gramStart"/>
      <w:r>
        <w:rPr>
          <w:rFonts w:ascii="Arial" w:eastAsia="Arial" w:hAnsi="Arial" w:cs="Arial"/>
          <w:sz w:val="22"/>
          <w:szCs w:val="22"/>
        </w:rPr>
        <w:t>96.8 .</w:t>
      </w:r>
      <w:proofErr w:type="gramEnd"/>
    </w:p>
    <w:p w14:paraId="17FFC379" w14:textId="77777777" w:rsidR="00CE44AE" w:rsidRDefault="00046FEA">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b/>
          <w:color w:val="000000"/>
          <w:sz w:val="22"/>
          <w:szCs w:val="22"/>
        </w:rPr>
        <w:t>Por nivel de cumplimiento</w:t>
      </w:r>
      <w:r>
        <w:rPr>
          <w:rFonts w:ascii="Arial" w:eastAsia="Arial" w:hAnsi="Arial" w:cs="Arial"/>
          <w:color w:val="000000"/>
          <w:sz w:val="22"/>
          <w:szCs w:val="22"/>
        </w:rPr>
        <w:t xml:space="preserve"> se tiene que, una cuarta parte (24.4%) de los sujetos obligados, es decir, </w:t>
      </w:r>
      <w:r>
        <w:rPr>
          <w:rFonts w:ascii="Arial" w:eastAsia="Arial" w:hAnsi="Arial" w:cs="Arial"/>
          <w:b/>
          <w:color w:val="000000"/>
          <w:sz w:val="22"/>
          <w:szCs w:val="22"/>
        </w:rPr>
        <w:t>29</w:t>
      </w:r>
      <w:r>
        <w:rPr>
          <w:rFonts w:ascii="Arial" w:eastAsia="Arial" w:hAnsi="Arial" w:cs="Arial"/>
          <w:color w:val="000000"/>
          <w:sz w:val="22"/>
          <w:szCs w:val="22"/>
        </w:rPr>
        <w:t xml:space="preserve"> de 119 que se verificaron, alcanzaron un </w:t>
      </w:r>
      <w:r>
        <w:rPr>
          <w:rFonts w:ascii="Arial" w:eastAsia="Arial" w:hAnsi="Arial" w:cs="Arial"/>
          <w:b/>
          <w:color w:val="000000"/>
          <w:sz w:val="22"/>
          <w:szCs w:val="22"/>
        </w:rPr>
        <w:t xml:space="preserve">cumplimiento total </w:t>
      </w:r>
      <w:r>
        <w:rPr>
          <w:rFonts w:ascii="Arial" w:eastAsia="Arial" w:hAnsi="Arial" w:cs="Arial"/>
          <w:color w:val="000000"/>
          <w:sz w:val="22"/>
          <w:szCs w:val="22"/>
        </w:rPr>
        <w:t>con un I</w:t>
      </w:r>
      <w:r>
        <w:rPr>
          <w:rFonts w:ascii="Arial" w:eastAsia="Arial" w:hAnsi="Arial" w:cs="Arial"/>
          <w:b/>
          <w:color w:val="000000"/>
          <w:sz w:val="22"/>
          <w:szCs w:val="22"/>
        </w:rPr>
        <w:t xml:space="preserve">GOT </w:t>
      </w:r>
      <w:r>
        <w:rPr>
          <w:rFonts w:ascii="Arial" w:eastAsia="Arial" w:hAnsi="Arial" w:cs="Arial"/>
          <w:color w:val="000000"/>
          <w:sz w:val="22"/>
          <w:szCs w:val="22"/>
        </w:rPr>
        <w:t>de</w:t>
      </w:r>
      <w:r>
        <w:rPr>
          <w:rFonts w:ascii="Arial" w:eastAsia="Arial" w:hAnsi="Arial" w:cs="Arial"/>
          <w:b/>
          <w:color w:val="000000"/>
          <w:sz w:val="22"/>
          <w:szCs w:val="22"/>
        </w:rPr>
        <w:t xml:space="preserve"> 100 puntos</w:t>
      </w:r>
      <w:r>
        <w:rPr>
          <w:rFonts w:ascii="Arial" w:eastAsia="Arial" w:hAnsi="Arial" w:cs="Arial"/>
          <w:color w:val="000000"/>
          <w:sz w:val="22"/>
          <w:szCs w:val="22"/>
        </w:rPr>
        <w:t xml:space="preserve"> lo que significa que cumplieron con el piso mínimo de transparencia que estipula la Ley. </w:t>
      </w:r>
    </w:p>
    <w:p w14:paraId="49FAB832" w14:textId="77777777" w:rsidR="00CE44AE" w:rsidRDefault="00046FEA">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color w:val="000000"/>
          <w:sz w:val="22"/>
          <w:szCs w:val="22"/>
        </w:rPr>
        <w:t xml:space="preserve">Resultado de la solventación, </w:t>
      </w:r>
      <w:r>
        <w:rPr>
          <w:rFonts w:ascii="Arial" w:eastAsia="Arial" w:hAnsi="Arial" w:cs="Arial"/>
          <w:b/>
          <w:color w:val="000000"/>
          <w:sz w:val="22"/>
          <w:szCs w:val="22"/>
        </w:rPr>
        <w:t>63 sujetos obligados</w:t>
      </w:r>
      <w:r>
        <w:rPr>
          <w:rFonts w:ascii="Arial" w:eastAsia="Arial" w:hAnsi="Arial" w:cs="Arial"/>
          <w:color w:val="000000"/>
          <w:sz w:val="22"/>
          <w:szCs w:val="22"/>
        </w:rPr>
        <w:t xml:space="preserve"> (53%) se ubican en el nivel de </w:t>
      </w:r>
      <w:r>
        <w:rPr>
          <w:rFonts w:ascii="Arial" w:eastAsia="Arial" w:hAnsi="Arial" w:cs="Arial"/>
          <w:b/>
          <w:color w:val="000000"/>
          <w:sz w:val="22"/>
          <w:szCs w:val="22"/>
        </w:rPr>
        <w:t xml:space="preserve">cumplimiento parcial </w:t>
      </w:r>
      <w:r>
        <w:rPr>
          <w:rFonts w:ascii="Arial" w:eastAsia="Arial" w:hAnsi="Arial" w:cs="Arial"/>
          <w:color w:val="000000"/>
          <w:sz w:val="22"/>
          <w:szCs w:val="22"/>
        </w:rPr>
        <w:t>y tuvieron entre 99.99 y 60 puntos. En el nivel d</w:t>
      </w:r>
      <w:r>
        <w:rPr>
          <w:rFonts w:ascii="Arial" w:eastAsia="Arial" w:hAnsi="Arial" w:cs="Arial"/>
          <w:color w:val="000000"/>
          <w:sz w:val="22"/>
          <w:szCs w:val="22"/>
        </w:rPr>
        <w:t xml:space="preserve">e </w:t>
      </w:r>
      <w:r>
        <w:rPr>
          <w:rFonts w:ascii="Arial" w:eastAsia="Arial" w:hAnsi="Arial" w:cs="Arial"/>
          <w:b/>
          <w:color w:val="000000"/>
          <w:sz w:val="22"/>
          <w:szCs w:val="22"/>
        </w:rPr>
        <w:t>incumplimiento parcial</w:t>
      </w:r>
      <w:r>
        <w:rPr>
          <w:rFonts w:ascii="Arial" w:eastAsia="Arial" w:hAnsi="Arial" w:cs="Arial"/>
          <w:color w:val="000000"/>
          <w:sz w:val="22"/>
          <w:szCs w:val="22"/>
        </w:rPr>
        <w:t xml:space="preserve"> están </w:t>
      </w:r>
      <w:r>
        <w:rPr>
          <w:rFonts w:ascii="Arial" w:eastAsia="Arial" w:hAnsi="Arial" w:cs="Arial"/>
          <w:b/>
          <w:color w:val="000000"/>
          <w:sz w:val="22"/>
          <w:szCs w:val="22"/>
        </w:rPr>
        <w:t>20 sujetos obligados</w:t>
      </w:r>
      <w:r>
        <w:rPr>
          <w:rFonts w:ascii="Arial" w:eastAsia="Arial" w:hAnsi="Arial" w:cs="Arial"/>
          <w:color w:val="000000"/>
          <w:sz w:val="22"/>
          <w:szCs w:val="22"/>
        </w:rPr>
        <w:t xml:space="preserve"> (16.8%) y </w:t>
      </w:r>
      <w:r>
        <w:rPr>
          <w:rFonts w:ascii="Arial" w:eastAsia="Arial" w:hAnsi="Arial" w:cs="Arial"/>
          <w:b/>
          <w:color w:val="000000"/>
          <w:sz w:val="22"/>
          <w:szCs w:val="22"/>
        </w:rPr>
        <w:t>7 sujetos obligados</w:t>
      </w:r>
      <w:r>
        <w:rPr>
          <w:rFonts w:ascii="Arial" w:eastAsia="Arial" w:hAnsi="Arial" w:cs="Arial"/>
          <w:color w:val="000000"/>
          <w:sz w:val="22"/>
          <w:szCs w:val="22"/>
        </w:rPr>
        <w:t xml:space="preserve"> (5.8%) tienen </w:t>
      </w:r>
      <w:r>
        <w:rPr>
          <w:rFonts w:ascii="Arial" w:eastAsia="Arial" w:hAnsi="Arial" w:cs="Arial"/>
          <w:b/>
          <w:color w:val="000000"/>
          <w:sz w:val="22"/>
          <w:szCs w:val="22"/>
        </w:rPr>
        <w:t xml:space="preserve">incumplimiento </w:t>
      </w:r>
      <w:proofErr w:type="gramStart"/>
      <w:r>
        <w:rPr>
          <w:rFonts w:ascii="Arial" w:eastAsia="Arial" w:hAnsi="Arial" w:cs="Arial"/>
          <w:b/>
          <w:color w:val="000000"/>
          <w:sz w:val="22"/>
          <w:szCs w:val="22"/>
        </w:rPr>
        <w:t>total</w:t>
      </w:r>
      <w:proofErr w:type="gramEnd"/>
      <w:r>
        <w:rPr>
          <w:rFonts w:ascii="Arial" w:eastAsia="Arial" w:hAnsi="Arial" w:cs="Arial"/>
          <w:color w:val="000000"/>
          <w:sz w:val="22"/>
          <w:szCs w:val="22"/>
        </w:rPr>
        <w:t xml:space="preserve"> es decir, su IGOT es igual a cero.</w:t>
      </w:r>
    </w:p>
    <w:p w14:paraId="32793BB1" w14:textId="77777777" w:rsidR="00CE44AE" w:rsidRDefault="00046FEA">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b/>
          <w:color w:val="000000"/>
          <w:sz w:val="22"/>
          <w:szCs w:val="22"/>
        </w:rPr>
        <w:t>Por</w:t>
      </w:r>
      <w:r>
        <w:rPr>
          <w:rFonts w:ascii="Arial" w:eastAsia="Arial" w:hAnsi="Arial" w:cs="Arial"/>
          <w:color w:val="000000"/>
          <w:sz w:val="22"/>
          <w:szCs w:val="22"/>
        </w:rPr>
        <w:t xml:space="preserve"> nivel de </w:t>
      </w:r>
      <w:r>
        <w:rPr>
          <w:rFonts w:ascii="Arial" w:eastAsia="Arial" w:hAnsi="Arial" w:cs="Arial"/>
          <w:b/>
          <w:color w:val="000000"/>
          <w:sz w:val="22"/>
          <w:szCs w:val="22"/>
        </w:rPr>
        <w:t>atención a las recomendaciones y observaciones</w:t>
      </w:r>
      <w:r>
        <w:rPr>
          <w:rFonts w:ascii="Arial" w:eastAsia="Arial" w:hAnsi="Arial" w:cs="Arial"/>
          <w:color w:val="000000"/>
          <w:sz w:val="22"/>
          <w:szCs w:val="22"/>
        </w:rPr>
        <w:t xml:space="preserve"> se tienen </w:t>
      </w:r>
      <w:r>
        <w:rPr>
          <w:rFonts w:ascii="Arial" w:eastAsia="Arial" w:hAnsi="Arial" w:cs="Arial"/>
          <w:b/>
          <w:color w:val="000000"/>
          <w:sz w:val="22"/>
          <w:szCs w:val="22"/>
        </w:rPr>
        <w:t>99 sujetos obligados</w:t>
      </w:r>
      <w:r>
        <w:rPr>
          <w:rFonts w:ascii="Arial" w:eastAsia="Arial" w:hAnsi="Arial" w:cs="Arial"/>
          <w:color w:val="000000"/>
          <w:sz w:val="22"/>
          <w:szCs w:val="22"/>
        </w:rPr>
        <w:t xml:space="preserve"> que equivalen</w:t>
      </w:r>
      <w:r>
        <w:rPr>
          <w:rFonts w:ascii="Arial" w:eastAsia="Arial" w:hAnsi="Arial" w:cs="Arial"/>
          <w:color w:val="000000"/>
          <w:sz w:val="22"/>
          <w:szCs w:val="22"/>
        </w:rPr>
        <w:t xml:space="preserve"> al 83.2% </w:t>
      </w:r>
      <w:r>
        <w:rPr>
          <w:rFonts w:ascii="Arial" w:eastAsia="Arial" w:hAnsi="Arial" w:cs="Arial"/>
          <w:b/>
          <w:color w:val="000000"/>
          <w:sz w:val="22"/>
          <w:szCs w:val="22"/>
        </w:rPr>
        <w:t xml:space="preserve">solventaron total o parcialmente </w:t>
      </w:r>
      <w:r>
        <w:rPr>
          <w:rFonts w:ascii="Arial" w:eastAsia="Arial" w:hAnsi="Arial" w:cs="Arial"/>
          <w:color w:val="000000"/>
          <w:sz w:val="22"/>
          <w:szCs w:val="22"/>
        </w:rPr>
        <w:t>las recomendaciones y observaciones. De ellos,</w:t>
      </w:r>
      <w:r>
        <w:rPr>
          <w:rFonts w:ascii="Arial" w:eastAsia="Arial" w:hAnsi="Arial" w:cs="Arial"/>
          <w:b/>
          <w:color w:val="000000"/>
          <w:sz w:val="22"/>
          <w:szCs w:val="22"/>
        </w:rPr>
        <w:t xml:space="preserve"> 29 atendieron todas las recomendaciones </w:t>
      </w:r>
      <w:r>
        <w:rPr>
          <w:rFonts w:ascii="Arial" w:eastAsia="Arial" w:hAnsi="Arial" w:cs="Arial"/>
          <w:color w:val="000000"/>
          <w:sz w:val="22"/>
          <w:szCs w:val="22"/>
        </w:rPr>
        <w:t xml:space="preserve">y obtuvieron un IGOT de 100 puntos y los </w:t>
      </w:r>
      <w:r>
        <w:rPr>
          <w:rFonts w:ascii="Arial" w:eastAsia="Arial" w:hAnsi="Arial" w:cs="Arial"/>
          <w:b/>
          <w:color w:val="000000"/>
          <w:sz w:val="22"/>
          <w:szCs w:val="22"/>
        </w:rPr>
        <w:t xml:space="preserve">70 </w:t>
      </w:r>
      <w:r>
        <w:rPr>
          <w:rFonts w:ascii="Arial" w:eastAsia="Arial" w:hAnsi="Arial" w:cs="Arial"/>
          <w:b/>
          <w:color w:val="000000"/>
          <w:sz w:val="22"/>
          <w:szCs w:val="22"/>
        </w:rPr>
        <w:t>restantes, sólo mejoraron su resultado.</w:t>
      </w:r>
    </w:p>
    <w:p w14:paraId="6FF3D3DC" w14:textId="77777777" w:rsidR="00CE44AE" w:rsidRDefault="00046FEA">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De los sujetos obligados con áreas de mejora que se verificaron, </w:t>
      </w:r>
      <w:r>
        <w:rPr>
          <w:rFonts w:ascii="Arial" w:eastAsia="Arial" w:hAnsi="Arial" w:cs="Arial"/>
          <w:b/>
          <w:color w:val="000000"/>
          <w:sz w:val="22"/>
          <w:szCs w:val="22"/>
        </w:rPr>
        <w:t>20 fueron omisos y no atendieron ninguna</w:t>
      </w:r>
      <w:r>
        <w:rPr>
          <w:rFonts w:ascii="Arial" w:eastAsia="Arial" w:hAnsi="Arial" w:cs="Arial"/>
          <w:color w:val="000000"/>
          <w:sz w:val="22"/>
          <w:szCs w:val="22"/>
        </w:rPr>
        <w:t xml:space="preserve"> de las recomendaciones u observaciones.</w:t>
      </w:r>
    </w:p>
    <w:p w14:paraId="78138199" w14:textId="77777777" w:rsidR="00CE44AE" w:rsidRDefault="00046FEA">
      <w:pPr>
        <w:numPr>
          <w:ilvl w:val="0"/>
          <w:numId w:val="1"/>
        </w:numPr>
        <w:spacing w:line="276" w:lineRule="auto"/>
        <w:jc w:val="both"/>
        <w:rPr>
          <w:sz w:val="22"/>
          <w:szCs w:val="22"/>
        </w:rPr>
      </w:pPr>
      <w:r>
        <w:rPr>
          <w:rFonts w:ascii="Arial" w:eastAsia="Arial" w:hAnsi="Arial" w:cs="Arial"/>
          <w:sz w:val="22"/>
          <w:szCs w:val="22"/>
        </w:rPr>
        <w:t xml:space="preserve">El </w:t>
      </w:r>
      <w:r>
        <w:rPr>
          <w:rFonts w:ascii="Arial" w:eastAsia="Arial" w:hAnsi="Arial" w:cs="Arial"/>
          <w:b/>
          <w:sz w:val="22"/>
          <w:szCs w:val="22"/>
        </w:rPr>
        <w:t>promedio de cumplimiento</w:t>
      </w:r>
      <w:r>
        <w:rPr>
          <w:rFonts w:ascii="Arial" w:eastAsia="Arial" w:hAnsi="Arial" w:cs="Arial"/>
          <w:sz w:val="22"/>
          <w:szCs w:val="22"/>
        </w:rPr>
        <w:t xml:space="preserve"> de la publicación de información respecto de las </w:t>
      </w:r>
      <w:r>
        <w:rPr>
          <w:rFonts w:ascii="Arial" w:eastAsia="Arial" w:hAnsi="Arial" w:cs="Arial"/>
          <w:b/>
          <w:sz w:val="22"/>
          <w:szCs w:val="22"/>
        </w:rPr>
        <w:t>contrataciones</w:t>
      </w:r>
      <w:r>
        <w:rPr>
          <w:rFonts w:ascii="Arial" w:eastAsia="Arial" w:hAnsi="Arial" w:cs="Arial"/>
          <w:sz w:val="22"/>
          <w:szCs w:val="22"/>
        </w:rPr>
        <w:t xml:space="preserve"> era de 55.6 puntos</w:t>
      </w:r>
      <w:r>
        <w:rPr>
          <w:rFonts w:ascii="Arial" w:eastAsia="Arial" w:hAnsi="Arial" w:cs="Arial"/>
          <w:sz w:val="22"/>
          <w:szCs w:val="22"/>
        </w:rPr>
        <w:t xml:space="preserve"> en la Segunda Evaluación, mientras que en la Evaluación de Solventación </w:t>
      </w:r>
      <w:r>
        <w:rPr>
          <w:rFonts w:ascii="Arial" w:eastAsia="Arial" w:hAnsi="Arial" w:cs="Arial"/>
          <w:b/>
          <w:sz w:val="22"/>
          <w:szCs w:val="22"/>
        </w:rPr>
        <w:t>aumentó a 67.1</w:t>
      </w:r>
      <w:r>
        <w:rPr>
          <w:rFonts w:ascii="Arial" w:eastAsia="Arial" w:hAnsi="Arial" w:cs="Arial"/>
          <w:sz w:val="22"/>
          <w:szCs w:val="22"/>
        </w:rPr>
        <w:t>, es decir, incrementó 11.5 puntos.</w:t>
      </w:r>
    </w:p>
    <w:p w14:paraId="1F5FD354" w14:textId="77777777" w:rsidR="00CE44AE" w:rsidRDefault="00046FEA">
      <w:pPr>
        <w:numPr>
          <w:ilvl w:val="0"/>
          <w:numId w:val="1"/>
        </w:numPr>
        <w:pBdr>
          <w:top w:val="nil"/>
          <w:left w:val="nil"/>
          <w:bottom w:val="nil"/>
          <w:right w:val="nil"/>
          <w:between w:val="nil"/>
        </w:pBdr>
        <w:spacing w:line="276" w:lineRule="auto"/>
        <w:jc w:val="both"/>
        <w:rPr>
          <w:color w:val="000000"/>
          <w:sz w:val="22"/>
          <w:szCs w:val="22"/>
        </w:rPr>
      </w:pPr>
      <w:r>
        <w:rPr>
          <w:rFonts w:ascii="Arial" w:eastAsia="Arial" w:hAnsi="Arial" w:cs="Arial"/>
          <w:color w:val="000000"/>
          <w:sz w:val="22"/>
          <w:szCs w:val="22"/>
        </w:rPr>
        <w:t xml:space="preserve">En la publicación de la </w:t>
      </w:r>
      <w:proofErr w:type="gramStart"/>
      <w:r>
        <w:rPr>
          <w:rFonts w:ascii="Arial" w:eastAsia="Arial" w:hAnsi="Arial" w:cs="Arial"/>
          <w:color w:val="000000"/>
          <w:sz w:val="22"/>
          <w:szCs w:val="22"/>
        </w:rPr>
        <w:t>fr</w:t>
      </w:r>
      <w:r>
        <w:rPr>
          <w:rFonts w:ascii="Arial" w:eastAsia="Arial" w:hAnsi="Arial" w:cs="Arial"/>
          <w:sz w:val="22"/>
          <w:szCs w:val="22"/>
        </w:rPr>
        <w:t>acción  relativa</w:t>
      </w:r>
      <w:proofErr w:type="gramEnd"/>
      <w:r>
        <w:rPr>
          <w:rFonts w:ascii="Arial" w:eastAsia="Arial" w:hAnsi="Arial" w:cs="Arial"/>
          <w:sz w:val="22"/>
          <w:szCs w:val="22"/>
        </w:rPr>
        <w:t xml:space="preserve"> a </w:t>
      </w:r>
      <w:r>
        <w:rPr>
          <w:rFonts w:ascii="Arial" w:eastAsia="Arial" w:hAnsi="Arial" w:cs="Arial"/>
          <w:b/>
          <w:color w:val="000000"/>
          <w:sz w:val="22"/>
          <w:szCs w:val="22"/>
        </w:rPr>
        <w:t>contrataciones</w:t>
      </w:r>
      <w:r>
        <w:rPr>
          <w:rFonts w:ascii="Arial" w:eastAsia="Arial" w:hAnsi="Arial" w:cs="Arial"/>
          <w:color w:val="000000"/>
          <w:sz w:val="22"/>
          <w:szCs w:val="22"/>
        </w:rPr>
        <w:t xml:space="preserve">, casi la mitad (48%), es decir </w:t>
      </w:r>
      <w:r>
        <w:rPr>
          <w:rFonts w:ascii="Arial" w:eastAsia="Arial" w:hAnsi="Arial" w:cs="Arial"/>
          <w:b/>
          <w:color w:val="000000"/>
          <w:sz w:val="22"/>
          <w:szCs w:val="22"/>
        </w:rPr>
        <w:t>57 sujetos obligados</w:t>
      </w:r>
      <w:r>
        <w:rPr>
          <w:rFonts w:ascii="Arial" w:eastAsia="Arial" w:hAnsi="Arial" w:cs="Arial"/>
          <w:color w:val="000000"/>
          <w:sz w:val="22"/>
          <w:szCs w:val="22"/>
        </w:rPr>
        <w:t xml:space="preserve"> verificados </w:t>
      </w:r>
      <w:r>
        <w:rPr>
          <w:rFonts w:ascii="Arial" w:eastAsia="Arial" w:hAnsi="Arial" w:cs="Arial"/>
          <w:b/>
          <w:color w:val="000000"/>
          <w:sz w:val="22"/>
          <w:szCs w:val="22"/>
        </w:rPr>
        <w:t>cumplen t</w:t>
      </w:r>
      <w:r>
        <w:rPr>
          <w:rFonts w:ascii="Arial" w:eastAsia="Arial" w:hAnsi="Arial" w:cs="Arial"/>
          <w:b/>
          <w:color w:val="000000"/>
          <w:sz w:val="22"/>
          <w:szCs w:val="22"/>
        </w:rPr>
        <w:t>otalmente</w:t>
      </w:r>
      <w:r>
        <w:rPr>
          <w:rFonts w:ascii="Arial" w:eastAsia="Arial" w:hAnsi="Arial" w:cs="Arial"/>
          <w:color w:val="000000"/>
          <w:sz w:val="22"/>
          <w:szCs w:val="22"/>
        </w:rPr>
        <w:t xml:space="preserve"> con la publicación de la información en materia de adquisiciones de manera completa y actualizada. Con cu</w:t>
      </w:r>
      <w:r>
        <w:rPr>
          <w:rFonts w:ascii="Arial" w:eastAsia="Arial" w:hAnsi="Arial" w:cs="Arial"/>
          <w:color w:val="000000"/>
          <w:sz w:val="22"/>
          <w:szCs w:val="22"/>
        </w:rPr>
        <w:t xml:space="preserve">mplimiento total (de 100 puntos) en la publicación de contratos destaca el </w:t>
      </w:r>
      <w:r>
        <w:rPr>
          <w:rFonts w:ascii="Arial" w:eastAsia="Arial" w:hAnsi="Arial" w:cs="Arial"/>
          <w:b/>
          <w:color w:val="000000"/>
          <w:sz w:val="22"/>
          <w:szCs w:val="22"/>
        </w:rPr>
        <w:t>Poder Judicial</w:t>
      </w:r>
      <w:r>
        <w:rPr>
          <w:rFonts w:ascii="Arial" w:eastAsia="Arial" w:hAnsi="Arial" w:cs="Arial"/>
          <w:color w:val="000000"/>
          <w:sz w:val="22"/>
          <w:szCs w:val="22"/>
        </w:rPr>
        <w:t xml:space="preserve"> y la </w:t>
      </w:r>
      <w:r>
        <w:rPr>
          <w:rFonts w:ascii="Arial" w:eastAsia="Arial" w:hAnsi="Arial" w:cs="Arial"/>
          <w:b/>
          <w:color w:val="000000"/>
          <w:sz w:val="22"/>
          <w:szCs w:val="22"/>
        </w:rPr>
        <w:t>administración pública central</w:t>
      </w:r>
      <w:r>
        <w:rPr>
          <w:rFonts w:ascii="Arial" w:eastAsia="Arial" w:hAnsi="Arial" w:cs="Arial"/>
          <w:color w:val="000000"/>
          <w:sz w:val="22"/>
          <w:szCs w:val="22"/>
        </w:rPr>
        <w:t xml:space="preserve">.  </w:t>
      </w:r>
    </w:p>
    <w:p w14:paraId="3A3B0406" w14:textId="77777777" w:rsidR="00CE44AE" w:rsidRDefault="00046FEA">
      <w:pPr>
        <w:numPr>
          <w:ilvl w:val="0"/>
          <w:numId w:val="1"/>
        </w:numPr>
        <w:pBdr>
          <w:top w:val="nil"/>
          <w:left w:val="nil"/>
          <w:bottom w:val="nil"/>
          <w:right w:val="nil"/>
          <w:between w:val="nil"/>
        </w:pBdr>
        <w:spacing w:after="160" w:line="276" w:lineRule="auto"/>
        <w:jc w:val="both"/>
        <w:rPr>
          <w:color w:val="000000"/>
          <w:sz w:val="22"/>
          <w:szCs w:val="22"/>
        </w:rPr>
      </w:pPr>
      <w:r>
        <w:rPr>
          <w:rFonts w:ascii="Arial" w:eastAsia="Arial" w:hAnsi="Arial" w:cs="Arial"/>
          <w:color w:val="000000"/>
          <w:sz w:val="22"/>
          <w:szCs w:val="22"/>
        </w:rPr>
        <w:lastRenderedPageBreak/>
        <w:t xml:space="preserve">A pesar de las mejoras, aún persisten </w:t>
      </w:r>
      <w:r>
        <w:rPr>
          <w:rFonts w:ascii="Arial" w:eastAsia="Arial" w:hAnsi="Arial" w:cs="Arial"/>
          <w:b/>
          <w:color w:val="000000"/>
          <w:sz w:val="22"/>
          <w:szCs w:val="22"/>
        </w:rPr>
        <w:t xml:space="preserve">rezagos </w:t>
      </w:r>
      <w:r>
        <w:rPr>
          <w:rFonts w:ascii="Arial" w:eastAsia="Arial" w:hAnsi="Arial" w:cs="Arial"/>
          <w:color w:val="000000"/>
          <w:sz w:val="22"/>
          <w:szCs w:val="22"/>
        </w:rPr>
        <w:t xml:space="preserve">y áreas de opacidad en materia de </w:t>
      </w:r>
      <w:r>
        <w:rPr>
          <w:rFonts w:ascii="Arial" w:eastAsia="Arial" w:hAnsi="Arial" w:cs="Arial"/>
          <w:b/>
          <w:color w:val="000000"/>
          <w:sz w:val="22"/>
          <w:szCs w:val="22"/>
        </w:rPr>
        <w:t>contrataciones</w:t>
      </w:r>
      <w:r>
        <w:rPr>
          <w:rFonts w:ascii="Arial" w:eastAsia="Arial" w:hAnsi="Arial" w:cs="Arial"/>
          <w:color w:val="000000"/>
          <w:sz w:val="22"/>
          <w:szCs w:val="22"/>
        </w:rPr>
        <w:t xml:space="preserve">: persisten </w:t>
      </w:r>
      <w:r>
        <w:rPr>
          <w:rFonts w:ascii="Arial" w:eastAsia="Arial" w:hAnsi="Arial" w:cs="Arial"/>
          <w:b/>
          <w:color w:val="000000"/>
          <w:sz w:val="22"/>
          <w:szCs w:val="22"/>
        </w:rPr>
        <w:t>31 sujetos obligados</w:t>
      </w:r>
      <w:r>
        <w:rPr>
          <w:rFonts w:ascii="Arial" w:eastAsia="Arial" w:hAnsi="Arial" w:cs="Arial"/>
          <w:color w:val="000000"/>
          <w:sz w:val="22"/>
          <w:szCs w:val="22"/>
        </w:rPr>
        <w:t xml:space="preserve"> que representan el 26% de los verificados con un </w:t>
      </w:r>
      <w:r>
        <w:rPr>
          <w:rFonts w:ascii="Arial" w:eastAsia="Arial" w:hAnsi="Arial" w:cs="Arial"/>
          <w:b/>
          <w:color w:val="000000"/>
          <w:sz w:val="22"/>
          <w:szCs w:val="22"/>
        </w:rPr>
        <w:t>incumplimiento total</w:t>
      </w:r>
      <w:r>
        <w:rPr>
          <w:rFonts w:ascii="Arial" w:eastAsia="Arial" w:hAnsi="Arial" w:cs="Arial"/>
          <w:color w:val="000000"/>
          <w:sz w:val="22"/>
          <w:szCs w:val="22"/>
        </w:rPr>
        <w:t xml:space="preserve">, especialmente entre los </w:t>
      </w:r>
      <w:r>
        <w:rPr>
          <w:rFonts w:ascii="Arial" w:eastAsia="Arial" w:hAnsi="Arial" w:cs="Arial"/>
          <w:b/>
          <w:color w:val="000000"/>
          <w:sz w:val="22"/>
          <w:szCs w:val="22"/>
        </w:rPr>
        <w:t>sindicatos y partidos políticos</w:t>
      </w:r>
      <w:r>
        <w:rPr>
          <w:rFonts w:ascii="Arial" w:eastAsia="Arial" w:hAnsi="Arial" w:cs="Arial"/>
          <w:color w:val="000000"/>
          <w:sz w:val="22"/>
          <w:szCs w:val="22"/>
        </w:rPr>
        <w:t xml:space="preserve"> de la Ciudad de México.</w:t>
      </w:r>
    </w:p>
    <w:p w14:paraId="0516311A" w14:textId="77777777" w:rsidR="00CE44AE" w:rsidRDefault="00046FEA">
      <w:pPr>
        <w:pBdr>
          <w:top w:val="nil"/>
          <w:left w:val="nil"/>
          <w:bottom w:val="nil"/>
          <w:right w:val="nil"/>
          <w:between w:val="nil"/>
        </w:pBdr>
        <w:spacing w:before="120" w:after="120"/>
        <w:jc w:val="both"/>
        <w:rPr>
          <w:rFonts w:ascii="Quattrocento Sans" w:eastAsia="Quattrocento Sans" w:hAnsi="Quattrocento Sans" w:cs="Quattrocento Sans"/>
          <w:color w:val="2F5496"/>
          <w:sz w:val="22"/>
          <w:szCs w:val="22"/>
        </w:rPr>
      </w:pPr>
      <w:r>
        <w:rPr>
          <w:rFonts w:ascii="Arial" w:eastAsia="Arial" w:hAnsi="Arial" w:cs="Arial"/>
          <w:b/>
          <w:color w:val="000000"/>
          <w:sz w:val="22"/>
          <w:szCs w:val="22"/>
        </w:rPr>
        <w:t>Recomendaciones</w:t>
      </w:r>
      <w:r>
        <w:rPr>
          <w:rFonts w:ascii="Arial" w:eastAsia="Arial" w:hAnsi="Arial" w:cs="Arial"/>
          <w:color w:val="000000"/>
          <w:sz w:val="22"/>
          <w:szCs w:val="22"/>
        </w:rPr>
        <w:t> </w:t>
      </w:r>
    </w:p>
    <w:p w14:paraId="3F665A88" w14:textId="77777777" w:rsidR="00CE44AE" w:rsidRDefault="00046FEA">
      <w:pPr>
        <w:pBdr>
          <w:top w:val="nil"/>
          <w:left w:val="nil"/>
          <w:bottom w:val="nil"/>
          <w:right w:val="nil"/>
          <w:between w:val="nil"/>
        </w:pBdr>
        <w:spacing w:before="120" w:after="120"/>
        <w:jc w:val="both"/>
        <w:rPr>
          <w:rFonts w:ascii="Quattrocento Sans" w:eastAsia="Quattrocento Sans" w:hAnsi="Quattrocento Sans" w:cs="Quattrocento Sans"/>
          <w:color w:val="000000"/>
          <w:sz w:val="22"/>
          <w:szCs w:val="22"/>
        </w:rPr>
      </w:pPr>
      <w:r>
        <w:rPr>
          <w:rFonts w:ascii="Arial" w:eastAsia="Arial" w:hAnsi="Arial" w:cs="Arial"/>
          <w:color w:val="000000"/>
          <w:sz w:val="22"/>
          <w:szCs w:val="22"/>
        </w:rPr>
        <w:t>A fin de promover entre los sujetos una cultura de la transparencia y la apertura institucional, se desprenden las siguientes </w:t>
      </w:r>
      <w:r>
        <w:rPr>
          <w:rFonts w:ascii="Arial" w:eastAsia="Arial" w:hAnsi="Arial" w:cs="Arial"/>
          <w:b/>
          <w:color w:val="000000"/>
          <w:sz w:val="22"/>
          <w:szCs w:val="22"/>
        </w:rPr>
        <w:t>recomendaciones</w:t>
      </w:r>
      <w:r>
        <w:rPr>
          <w:rFonts w:ascii="Arial" w:eastAsia="Arial" w:hAnsi="Arial" w:cs="Arial"/>
          <w:color w:val="000000"/>
          <w:sz w:val="22"/>
          <w:szCs w:val="22"/>
        </w:rPr>
        <w:t xml:space="preserve"> para garantizar el derecho de acceso a la</w:t>
      </w:r>
      <w:r>
        <w:rPr>
          <w:rFonts w:ascii="Arial" w:eastAsia="Arial" w:hAnsi="Arial" w:cs="Arial"/>
          <w:color w:val="000000"/>
          <w:sz w:val="22"/>
          <w:szCs w:val="22"/>
        </w:rPr>
        <w:t xml:space="preserve"> información con la publicación de información completa, veraz, oportuna para incrementar su utilidad y aprovechamiento por parte de las personas:</w:t>
      </w:r>
    </w:p>
    <w:p w14:paraId="54ABF410" w14:textId="77777777" w:rsidR="00CE44AE" w:rsidRDefault="00046FEA">
      <w:pPr>
        <w:numPr>
          <w:ilvl w:val="0"/>
          <w:numId w:val="2"/>
        </w:num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Mantener </w:t>
      </w:r>
      <w:r>
        <w:rPr>
          <w:rFonts w:ascii="Arial" w:eastAsia="Arial" w:hAnsi="Arial" w:cs="Arial"/>
          <w:b/>
          <w:color w:val="000000"/>
          <w:sz w:val="22"/>
          <w:szCs w:val="22"/>
        </w:rPr>
        <w:t>actualizada </w:t>
      </w:r>
      <w:r>
        <w:rPr>
          <w:rFonts w:ascii="Arial" w:eastAsia="Arial" w:hAnsi="Arial" w:cs="Arial"/>
          <w:color w:val="000000"/>
          <w:sz w:val="22"/>
          <w:szCs w:val="22"/>
        </w:rPr>
        <w:t>la información y de preferencia con </w:t>
      </w:r>
      <w:r>
        <w:rPr>
          <w:rFonts w:ascii="Arial" w:eastAsia="Arial" w:hAnsi="Arial" w:cs="Arial"/>
          <w:b/>
          <w:color w:val="000000"/>
          <w:sz w:val="22"/>
          <w:szCs w:val="22"/>
        </w:rPr>
        <w:t>accesos directos</w:t>
      </w:r>
      <w:r>
        <w:rPr>
          <w:rFonts w:ascii="Arial" w:eastAsia="Arial" w:hAnsi="Arial" w:cs="Arial"/>
          <w:color w:val="000000"/>
          <w:sz w:val="22"/>
          <w:szCs w:val="22"/>
        </w:rPr>
        <w:t> que faciliten su consulta e incenti</w:t>
      </w:r>
      <w:r>
        <w:rPr>
          <w:rFonts w:ascii="Arial" w:eastAsia="Arial" w:hAnsi="Arial" w:cs="Arial"/>
          <w:color w:val="000000"/>
          <w:sz w:val="22"/>
          <w:szCs w:val="22"/>
        </w:rPr>
        <w:t>ven la búsqueda de la información. </w:t>
      </w:r>
    </w:p>
    <w:p w14:paraId="63BEEFCA" w14:textId="77777777" w:rsidR="00CE44AE" w:rsidRDefault="00046FEA">
      <w:pPr>
        <w:numPr>
          <w:ilvl w:val="0"/>
          <w:numId w:val="2"/>
        </w:num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Utilizar bases de </w:t>
      </w:r>
      <w:r>
        <w:rPr>
          <w:rFonts w:ascii="Arial" w:eastAsia="Arial" w:hAnsi="Arial" w:cs="Arial"/>
          <w:b/>
          <w:color w:val="000000"/>
          <w:sz w:val="22"/>
          <w:szCs w:val="22"/>
        </w:rPr>
        <w:t>datos abiertos</w:t>
      </w:r>
      <w:r>
        <w:rPr>
          <w:rFonts w:ascii="Arial" w:eastAsia="Arial" w:hAnsi="Arial" w:cs="Arial"/>
          <w:color w:val="000000"/>
          <w:sz w:val="22"/>
          <w:szCs w:val="22"/>
        </w:rPr>
        <w:t> y con lenguaje sencillo.  </w:t>
      </w:r>
    </w:p>
    <w:p w14:paraId="2F01FA64" w14:textId="77777777" w:rsidR="00CE44AE" w:rsidRDefault="00046FEA">
      <w:pPr>
        <w:numPr>
          <w:ilvl w:val="0"/>
          <w:numId w:val="2"/>
        </w:num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 xml:space="preserve">Establecer un apartado correspondiente a la información histórica de las obligaciones de transparencia, a fin de brindar acceso fácil para todas las personas a </w:t>
      </w:r>
      <w:r>
        <w:rPr>
          <w:rFonts w:ascii="Arial" w:eastAsia="Arial" w:hAnsi="Arial" w:cs="Arial"/>
          <w:color w:val="000000"/>
          <w:sz w:val="22"/>
          <w:szCs w:val="22"/>
        </w:rPr>
        <w:t>la </w:t>
      </w:r>
      <w:r>
        <w:rPr>
          <w:rFonts w:ascii="Arial" w:eastAsia="Arial" w:hAnsi="Arial" w:cs="Arial"/>
          <w:b/>
          <w:color w:val="000000"/>
          <w:sz w:val="22"/>
          <w:szCs w:val="22"/>
        </w:rPr>
        <w:t>memoria y archivo institucional</w:t>
      </w:r>
      <w:r>
        <w:rPr>
          <w:rFonts w:ascii="Arial" w:eastAsia="Arial" w:hAnsi="Arial" w:cs="Arial"/>
          <w:color w:val="000000"/>
          <w:sz w:val="22"/>
          <w:szCs w:val="22"/>
        </w:rPr>
        <w:t>. </w:t>
      </w:r>
    </w:p>
    <w:p w14:paraId="79EF9847" w14:textId="77777777" w:rsidR="00CE44AE" w:rsidRDefault="00046FEA">
      <w:pPr>
        <w:numPr>
          <w:ilvl w:val="0"/>
          <w:numId w:val="2"/>
        </w:num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Verificar el </w:t>
      </w:r>
      <w:r>
        <w:rPr>
          <w:rFonts w:ascii="Arial" w:eastAsia="Arial" w:hAnsi="Arial" w:cs="Arial"/>
          <w:b/>
          <w:color w:val="000000"/>
          <w:sz w:val="22"/>
          <w:szCs w:val="22"/>
        </w:rPr>
        <w:t>correcto funcionamiento de los hipervínculos</w:t>
      </w:r>
      <w:r>
        <w:rPr>
          <w:rFonts w:ascii="Arial" w:eastAsia="Arial" w:hAnsi="Arial" w:cs="Arial"/>
          <w:color w:val="000000"/>
          <w:sz w:val="22"/>
          <w:szCs w:val="22"/>
        </w:rPr>
        <w:t>, por ejemplo, que se alojen en un servidor administrado por la institución para evitar rupturas y tener control sobre su actualización permanente, que no se encu</w:t>
      </w:r>
      <w:r>
        <w:rPr>
          <w:rFonts w:ascii="Arial" w:eastAsia="Arial" w:hAnsi="Arial" w:cs="Arial"/>
          <w:color w:val="000000"/>
          <w:sz w:val="22"/>
          <w:szCs w:val="22"/>
        </w:rPr>
        <w:t>entren protegidos con “candados” que limiten o impidan su utilización. </w:t>
      </w:r>
    </w:p>
    <w:p w14:paraId="77B1E6B5" w14:textId="77777777" w:rsidR="00CE44AE" w:rsidRDefault="00046FEA">
      <w:pPr>
        <w:numPr>
          <w:ilvl w:val="0"/>
          <w:numId w:val="2"/>
        </w:num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Verificar la </w:t>
      </w:r>
      <w:r>
        <w:rPr>
          <w:rFonts w:ascii="Arial" w:eastAsia="Arial" w:hAnsi="Arial" w:cs="Arial"/>
          <w:b/>
          <w:color w:val="000000"/>
          <w:sz w:val="22"/>
          <w:szCs w:val="22"/>
        </w:rPr>
        <w:t>correspondencia entre los formatos y la fracción o inciso</w:t>
      </w:r>
      <w:r>
        <w:rPr>
          <w:rFonts w:ascii="Arial" w:eastAsia="Arial" w:hAnsi="Arial" w:cs="Arial"/>
          <w:color w:val="000000"/>
          <w:sz w:val="22"/>
          <w:szCs w:val="22"/>
        </w:rPr>
        <w:t>, así como cuidar la ortografía, redacción y puntuación en los formatos de carga, para así evitar errores o dificu</w:t>
      </w:r>
      <w:r>
        <w:rPr>
          <w:rFonts w:ascii="Arial" w:eastAsia="Arial" w:hAnsi="Arial" w:cs="Arial"/>
          <w:color w:val="000000"/>
          <w:sz w:val="22"/>
          <w:szCs w:val="22"/>
        </w:rPr>
        <w:t>ltades para la visualizar la información. </w:t>
      </w:r>
    </w:p>
    <w:p w14:paraId="7EECA4F6" w14:textId="77777777" w:rsidR="00CE44AE" w:rsidRDefault="00046FEA">
      <w:pPr>
        <w:numPr>
          <w:ilvl w:val="0"/>
          <w:numId w:val="2"/>
        </w:num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Revisar que se </w:t>
      </w:r>
      <w:r>
        <w:rPr>
          <w:rFonts w:ascii="Arial" w:eastAsia="Arial" w:hAnsi="Arial" w:cs="Arial"/>
          <w:b/>
          <w:color w:val="000000"/>
          <w:sz w:val="22"/>
          <w:szCs w:val="22"/>
        </w:rPr>
        <w:t>homologue </w:t>
      </w:r>
      <w:r>
        <w:rPr>
          <w:rFonts w:ascii="Arial" w:eastAsia="Arial" w:hAnsi="Arial" w:cs="Arial"/>
          <w:color w:val="000000"/>
          <w:sz w:val="22"/>
          <w:szCs w:val="22"/>
        </w:rPr>
        <w:t>la información que se publica en el </w:t>
      </w:r>
      <w:r>
        <w:rPr>
          <w:rFonts w:ascii="Arial" w:eastAsia="Arial" w:hAnsi="Arial" w:cs="Arial"/>
          <w:b/>
          <w:color w:val="000000"/>
          <w:sz w:val="22"/>
          <w:szCs w:val="22"/>
        </w:rPr>
        <w:t>portal de transparencia</w:t>
      </w:r>
      <w:r>
        <w:rPr>
          <w:rFonts w:ascii="Arial" w:eastAsia="Arial" w:hAnsi="Arial" w:cs="Arial"/>
          <w:color w:val="000000"/>
          <w:sz w:val="22"/>
          <w:szCs w:val="22"/>
        </w:rPr>
        <w:t> del sujeto obligado con la que se publica en la </w:t>
      </w:r>
      <w:r>
        <w:rPr>
          <w:rFonts w:ascii="Arial" w:eastAsia="Arial" w:hAnsi="Arial" w:cs="Arial"/>
          <w:b/>
          <w:color w:val="000000"/>
          <w:sz w:val="22"/>
          <w:szCs w:val="22"/>
        </w:rPr>
        <w:t>Plataforma Nacional de Transparencia</w:t>
      </w:r>
      <w:r>
        <w:rPr>
          <w:rFonts w:ascii="Arial" w:eastAsia="Arial" w:hAnsi="Arial" w:cs="Arial"/>
          <w:color w:val="000000"/>
          <w:sz w:val="22"/>
          <w:szCs w:val="22"/>
        </w:rPr>
        <w:t>. </w:t>
      </w:r>
    </w:p>
    <w:p w14:paraId="57817145" w14:textId="77777777" w:rsidR="00CE44AE" w:rsidRDefault="00046FEA">
      <w:pPr>
        <w:numPr>
          <w:ilvl w:val="0"/>
          <w:numId w:val="2"/>
        </w:numPr>
        <w:pBdr>
          <w:top w:val="nil"/>
          <w:left w:val="nil"/>
          <w:bottom w:val="nil"/>
          <w:right w:val="nil"/>
          <w:between w:val="nil"/>
        </w:pBdr>
        <w:ind w:left="360"/>
        <w:jc w:val="both"/>
        <w:rPr>
          <w:rFonts w:ascii="Arial" w:eastAsia="Arial" w:hAnsi="Arial" w:cs="Arial"/>
          <w:color w:val="000000"/>
          <w:sz w:val="22"/>
          <w:szCs w:val="22"/>
        </w:rPr>
      </w:pPr>
      <w:r>
        <w:rPr>
          <w:rFonts w:ascii="Arial" w:eastAsia="Arial" w:hAnsi="Arial" w:cs="Arial"/>
          <w:color w:val="000000"/>
          <w:sz w:val="22"/>
          <w:szCs w:val="22"/>
        </w:rPr>
        <w:t xml:space="preserve">En lo que se refiere a los contratos, se </w:t>
      </w:r>
      <w:r>
        <w:rPr>
          <w:rFonts w:ascii="Arial" w:eastAsia="Arial" w:hAnsi="Arial" w:cs="Arial"/>
          <w:color w:val="000000"/>
          <w:sz w:val="22"/>
          <w:szCs w:val="22"/>
        </w:rPr>
        <w:t>recomienda publicar </w:t>
      </w:r>
      <w:r>
        <w:rPr>
          <w:rFonts w:ascii="Arial" w:eastAsia="Arial" w:hAnsi="Arial" w:cs="Arial"/>
          <w:b/>
          <w:color w:val="000000"/>
          <w:sz w:val="22"/>
          <w:szCs w:val="22"/>
        </w:rPr>
        <w:t>la información completa</w:t>
      </w:r>
      <w:r>
        <w:rPr>
          <w:rFonts w:ascii="Arial" w:eastAsia="Arial" w:hAnsi="Arial" w:cs="Arial"/>
          <w:color w:val="000000"/>
          <w:sz w:val="22"/>
          <w:szCs w:val="22"/>
        </w:rPr>
        <w:t> y mantenerla </w:t>
      </w:r>
      <w:r>
        <w:rPr>
          <w:rFonts w:ascii="Arial" w:eastAsia="Arial" w:hAnsi="Arial" w:cs="Arial"/>
          <w:b/>
          <w:color w:val="000000"/>
          <w:sz w:val="22"/>
          <w:szCs w:val="22"/>
        </w:rPr>
        <w:t>actualizada</w:t>
      </w:r>
      <w:r>
        <w:rPr>
          <w:rFonts w:ascii="Arial" w:eastAsia="Arial" w:hAnsi="Arial" w:cs="Arial"/>
          <w:color w:val="000000"/>
          <w:sz w:val="22"/>
          <w:szCs w:val="22"/>
        </w:rPr>
        <w:t xml:space="preserve"> tanto para los </w:t>
      </w:r>
      <w:r>
        <w:rPr>
          <w:rFonts w:ascii="Arial" w:eastAsia="Arial" w:hAnsi="Arial" w:cs="Arial"/>
          <w:b/>
          <w:color w:val="000000"/>
          <w:sz w:val="22"/>
          <w:szCs w:val="22"/>
        </w:rPr>
        <w:t>procesos de licitación</w:t>
      </w:r>
      <w:r>
        <w:rPr>
          <w:rFonts w:ascii="Arial" w:eastAsia="Arial" w:hAnsi="Arial" w:cs="Arial"/>
          <w:color w:val="000000"/>
          <w:sz w:val="22"/>
          <w:szCs w:val="22"/>
        </w:rPr>
        <w:t>, </w:t>
      </w:r>
      <w:r>
        <w:rPr>
          <w:rFonts w:ascii="Arial" w:eastAsia="Arial" w:hAnsi="Arial" w:cs="Arial"/>
          <w:b/>
          <w:color w:val="000000"/>
          <w:sz w:val="22"/>
          <w:szCs w:val="22"/>
        </w:rPr>
        <w:t>invitación restringida</w:t>
      </w:r>
      <w:r>
        <w:rPr>
          <w:rFonts w:ascii="Arial" w:eastAsia="Arial" w:hAnsi="Arial" w:cs="Arial"/>
          <w:color w:val="000000"/>
          <w:sz w:val="22"/>
          <w:szCs w:val="22"/>
        </w:rPr>
        <w:t>, y especialmente cuando se trata de las </w:t>
      </w:r>
      <w:r>
        <w:rPr>
          <w:rFonts w:ascii="Arial" w:eastAsia="Arial" w:hAnsi="Arial" w:cs="Arial"/>
          <w:b/>
          <w:color w:val="000000"/>
          <w:sz w:val="22"/>
          <w:szCs w:val="22"/>
        </w:rPr>
        <w:t>adjudicaciones directas</w:t>
      </w:r>
      <w:r>
        <w:rPr>
          <w:rFonts w:ascii="Arial" w:eastAsia="Arial" w:hAnsi="Arial" w:cs="Arial"/>
          <w:color w:val="000000"/>
          <w:sz w:val="22"/>
          <w:szCs w:val="22"/>
        </w:rPr>
        <w:t>. Lo mismo en los relativo a los convenios que se suscriben. </w:t>
      </w:r>
    </w:p>
    <w:p w14:paraId="1BE3404E" w14:textId="77777777" w:rsidR="00CE44AE" w:rsidRDefault="00046FEA">
      <w:pPr>
        <w:spacing w:before="240" w:after="240" w:line="276" w:lineRule="auto"/>
        <w:jc w:val="both"/>
        <w:rPr>
          <w:rFonts w:ascii="Arial" w:eastAsia="Arial" w:hAnsi="Arial" w:cs="Arial"/>
          <w:b/>
          <w:sz w:val="22"/>
          <w:szCs w:val="22"/>
        </w:rPr>
      </w:pPr>
      <w:r>
        <w:rPr>
          <w:rFonts w:ascii="Arial" w:eastAsia="Arial" w:hAnsi="Arial" w:cs="Arial"/>
          <w:b/>
          <w:sz w:val="22"/>
          <w:szCs w:val="22"/>
        </w:rPr>
        <w:t>Siguientes pasos</w:t>
      </w:r>
    </w:p>
    <w:p w14:paraId="7826BAD0" w14:textId="77777777" w:rsidR="00CE44AE" w:rsidRDefault="00046FEA">
      <w:pPr>
        <w:numPr>
          <w:ilvl w:val="0"/>
          <w:numId w:val="3"/>
        </w:numPr>
        <w:ind w:left="720"/>
        <w:jc w:val="both"/>
        <w:rPr>
          <w:rFonts w:ascii="Arial" w:eastAsia="Arial" w:hAnsi="Arial" w:cs="Arial"/>
          <w:sz w:val="22"/>
          <w:szCs w:val="22"/>
        </w:rPr>
      </w:pPr>
      <w:r>
        <w:rPr>
          <w:rFonts w:ascii="Arial" w:eastAsia="Arial" w:hAnsi="Arial" w:cs="Arial"/>
          <w:sz w:val="22"/>
          <w:szCs w:val="22"/>
        </w:rPr>
        <w:t xml:space="preserve">Se </w:t>
      </w:r>
      <w:r>
        <w:rPr>
          <w:rFonts w:ascii="Arial" w:eastAsia="Arial" w:hAnsi="Arial" w:cs="Arial"/>
          <w:b/>
          <w:sz w:val="22"/>
          <w:szCs w:val="22"/>
        </w:rPr>
        <w:t xml:space="preserve">notificará </w:t>
      </w:r>
      <w:r>
        <w:rPr>
          <w:rFonts w:ascii="Arial" w:eastAsia="Arial" w:hAnsi="Arial" w:cs="Arial"/>
          <w:sz w:val="22"/>
          <w:szCs w:val="22"/>
        </w:rPr>
        <w:t xml:space="preserve">a cada sujeto obligado su </w:t>
      </w:r>
      <w:r>
        <w:rPr>
          <w:rFonts w:ascii="Arial" w:eastAsia="Arial" w:hAnsi="Arial" w:cs="Arial"/>
          <w:b/>
          <w:sz w:val="22"/>
          <w:szCs w:val="22"/>
        </w:rPr>
        <w:t>dictamen de evaluación</w:t>
      </w:r>
      <w:r>
        <w:rPr>
          <w:rFonts w:ascii="Arial" w:eastAsia="Arial" w:hAnsi="Arial" w:cs="Arial"/>
          <w:sz w:val="22"/>
          <w:szCs w:val="22"/>
        </w:rPr>
        <w:t xml:space="preserve"> con las recomendaciones vinculantes y observaciones, que deberán ser </w:t>
      </w:r>
      <w:r>
        <w:rPr>
          <w:rFonts w:ascii="Arial" w:eastAsia="Arial" w:hAnsi="Arial" w:cs="Arial"/>
          <w:b/>
          <w:sz w:val="22"/>
          <w:szCs w:val="22"/>
        </w:rPr>
        <w:t xml:space="preserve">solventadas </w:t>
      </w:r>
      <w:r>
        <w:rPr>
          <w:rFonts w:ascii="Arial" w:eastAsia="Arial" w:hAnsi="Arial" w:cs="Arial"/>
          <w:sz w:val="22"/>
          <w:szCs w:val="22"/>
        </w:rPr>
        <w:t>en un plazo no mayor a</w:t>
      </w:r>
      <w:r>
        <w:rPr>
          <w:rFonts w:ascii="Arial" w:eastAsia="Arial" w:hAnsi="Arial" w:cs="Arial"/>
          <w:b/>
          <w:sz w:val="22"/>
          <w:szCs w:val="22"/>
        </w:rPr>
        <w:t xml:space="preserve"> cinco días hábiles</w:t>
      </w:r>
      <w:r>
        <w:rPr>
          <w:rFonts w:ascii="Arial" w:eastAsia="Arial" w:hAnsi="Arial" w:cs="Arial"/>
          <w:sz w:val="22"/>
          <w:szCs w:val="22"/>
        </w:rPr>
        <w:t>, a partir de la notificación. Si subsisten los incumplimientos total o parcial, se informará al Pleno para que imponga las medidas d</w:t>
      </w:r>
      <w:r>
        <w:rPr>
          <w:rFonts w:ascii="Arial" w:eastAsia="Arial" w:hAnsi="Arial" w:cs="Arial"/>
          <w:sz w:val="22"/>
          <w:szCs w:val="22"/>
        </w:rPr>
        <w:t>e apremio o sanciones, conforme a la Ley de Transparencia.</w:t>
      </w:r>
    </w:p>
    <w:p w14:paraId="00D9AC89" w14:textId="77777777" w:rsidR="00CE44AE" w:rsidRDefault="00046FEA">
      <w:pPr>
        <w:numPr>
          <w:ilvl w:val="0"/>
          <w:numId w:val="3"/>
        </w:numPr>
        <w:ind w:left="720"/>
        <w:jc w:val="both"/>
        <w:rPr>
          <w:rFonts w:ascii="Arial" w:eastAsia="Arial" w:hAnsi="Arial" w:cs="Arial"/>
          <w:sz w:val="22"/>
          <w:szCs w:val="22"/>
        </w:rPr>
      </w:pPr>
      <w:r>
        <w:rPr>
          <w:rFonts w:ascii="Arial" w:eastAsia="Arial" w:hAnsi="Arial" w:cs="Arial"/>
          <w:sz w:val="22"/>
          <w:szCs w:val="22"/>
        </w:rPr>
        <w:t xml:space="preserve">El equipo de Estado Abierto continuará con la estrategia de acompañamiento permanente a los sujetos obligados a través de las </w:t>
      </w:r>
      <w:r>
        <w:rPr>
          <w:rFonts w:ascii="Arial" w:eastAsia="Arial" w:hAnsi="Arial" w:cs="Arial"/>
          <w:b/>
          <w:sz w:val="22"/>
          <w:szCs w:val="22"/>
        </w:rPr>
        <w:t>asesorías técnicas especializadas</w:t>
      </w:r>
      <w:r>
        <w:rPr>
          <w:rFonts w:ascii="Arial" w:eastAsia="Arial" w:hAnsi="Arial" w:cs="Arial"/>
          <w:sz w:val="22"/>
          <w:szCs w:val="22"/>
        </w:rPr>
        <w:t xml:space="preserve"> individuales y por ámbito de gobierno</w:t>
      </w:r>
      <w:r>
        <w:rPr>
          <w:rFonts w:ascii="Arial" w:eastAsia="Arial" w:hAnsi="Arial" w:cs="Arial"/>
          <w:sz w:val="22"/>
          <w:szCs w:val="22"/>
        </w:rPr>
        <w:t xml:space="preserve"> para remontar las brechas y alcanzar el cumplimiento total de las obligaciones de transparencia que marca la ley y así avanzar en el </w:t>
      </w:r>
      <w:r>
        <w:rPr>
          <w:rFonts w:ascii="Arial" w:eastAsia="Arial" w:hAnsi="Arial" w:cs="Arial"/>
          <w:b/>
          <w:sz w:val="22"/>
          <w:szCs w:val="22"/>
        </w:rPr>
        <w:t>Plan Estratégico para Desarrollar la Agenda de Estado Abierto desde el Instituto 2019-2025</w:t>
      </w:r>
      <w:r>
        <w:rPr>
          <w:rFonts w:ascii="Arial" w:eastAsia="Arial" w:hAnsi="Arial" w:cs="Arial"/>
          <w:sz w:val="22"/>
          <w:szCs w:val="22"/>
        </w:rPr>
        <w:t xml:space="preserve"> con evaluaciones oportunas y ef</w:t>
      </w:r>
      <w:r>
        <w:rPr>
          <w:rFonts w:ascii="Arial" w:eastAsia="Arial" w:hAnsi="Arial" w:cs="Arial"/>
          <w:sz w:val="22"/>
          <w:szCs w:val="22"/>
        </w:rPr>
        <w:t>icaces con perspectiva de derechos humanos y accesibilidad.</w:t>
      </w:r>
    </w:p>
    <w:p w14:paraId="39BCB7B2" w14:textId="77777777" w:rsidR="00CE44AE" w:rsidRDefault="00046FEA">
      <w:pPr>
        <w:numPr>
          <w:ilvl w:val="0"/>
          <w:numId w:val="3"/>
        </w:numPr>
        <w:ind w:left="720"/>
        <w:jc w:val="both"/>
        <w:rPr>
          <w:rFonts w:ascii="Arial" w:eastAsia="Arial" w:hAnsi="Arial" w:cs="Arial"/>
          <w:sz w:val="22"/>
          <w:szCs w:val="22"/>
        </w:rPr>
      </w:pPr>
      <w:r>
        <w:rPr>
          <w:rFonts w:ascii="Arial" w:eastAsia="Arial" w:hAnsi="Arial" w:cs="Arial"/>
          <w:sz w:val="22"/>
          <w:szCs w:val="22"/>
        </w:rPr>
        <w:t xml:space="preserve">En las próximas verificaciones, se seguirán realizando un </w:t>
      </w:r>
      <w:r>
        <w:rPr>
          <w:rFonts w:ascii="Arial" w:eastAsia="Arial" w:hAnsi="Arial" w:cs="Arial"/>
          <w:b/>
          <w:sz w:val="22"/>
          <w:szCs w:val="22"/>
        </w:rPr>
        <w:t xml:space="preserve">análisis focalizado </w:t>
      </w:r>
      <w:r>
        <w:rPr>
          <w:rFonts w:ascii="Arial" w:eastAsia="Arial" w:hAnsi="Arial" w:cs="Arial"/>
          <w:sz w:val="22"/>
          <w:szCs w:val="22"/>
        </w:rPr>
        <w:t xml:space="preserve">de algunas </w:t>
      </w:r>
      <w:r>
        <w:rPr>
          <w:rFonts w:ascii="Arial" w:eastAsia="Arial" w:hAnsi="Arial" w:cs="Arial"/>
          <w:b/>
          <w:sz w:val="22"/>
          <w:szCs w:val="22"/>
        </w:rPr>
        <w:t>obligaciones de transparencia</w:t>
      </w:r>
      <w:r>
        <w:rPr>
          <w:rFonts w:ascii="Arial" w:eastAsia="Arial" w:hAnsi="Arial" w:cs="Arial"/>
          <w:sz w:val="22"/>
          <w:szCs w:val="22"/>
        </w:rPr>
        <w:t xml:space="preserve"> en temas que tienen que ver con la apertura en el uso de los recursos público</w:t>
      </w:r>
      <w:r>
        <w:rPr>
          <w:rFonts w:ascii="Arial" w:eastAsia="Arial" w:hAnsi="Arial" w:cs="Arial"/>
          <w:sz w:val="22"/>
          <w:szCs w:val="22"/>
        </w:rPr>
        <w:t xml:space="preserve">s y la rendición de cuentas como son las </w:t>
      </w:r>
      <w:r>
        <w:rPr>
          <w:rFonts w:ascii="Arial" w:eastAsia="Arial" w:hAnsi="Arial" w:cs="Arial"/>
          <w:b/>
          <w:sz w:val="22"/>
          <w:szCs w:val="22"/>
        </w:rPr>
        <w:t>contrataciones</w:t>
      </w:r>
      <w:r>
        <w:rPr>
          <w:rFonts w:ascii="Arial" w:eastAsia="Arial" w:hAnsi="Arial" w:cs="Arial"/>
          <w:sz w:val="22"/>
          <w:szCs w:val="22"/>
        </w:rPr>
        <w:t xml:space="preserve">, los </w:t>
      </w:r>
      <w:r>
        <w:rPr>
          <w:rFonts w:ascii="Arial" w:eastAsia="Arial" w:hAnsi="Arial" w:cs="Arial"/>
          <w:b/>
          <w:sz w:val="22"/>
          <w:szCs w:val="22"/>
        </w:rPr>
        <w:t>programas sociales</w:t>
      </w:r>
      <w:r>
        <w:rPr>
          <w:rFonts w:ascii="Arial" w:eastAsia="Arial" w:hAnsi="Arial" w:cs="Arial"/>
          <w:sz w:val="22"/>
          <w:szCs w:val="22"/>
        </w:rPr>
        <w:t xml:space="preserve"> y las versiones públicas de las </w:t>
      </w:r>
      <w:r>
        <w:rPr>
          <w:rFonts w:ascii="Arial" w:eastAsia="Arial" w:hAnsi="Arial" w:cs="Arial"/>
          <w:b/>
          <w:sz w:val="22"/>
          <w:szCs w:val="22"/>
        </w:rPr>
        <w:t>declaraciones patrimonial, de intereses y fiscal</w:t>
      </w:r>
      <w:r>
        <w:rPr>
          <w:rFonts w:ascii="Arial" w:eastAsia="Arial" w:hAnsi="Arial" w:cs="Arial"/>
          <w:sz w:val="22"/>
          <w:szCs w:val="22"/>
        </w:rPr>
        <w:t xml:space="preserve"> de las personas en el servicio público, entre otros.</w:t>
      </w:r>
    </w:p>
    <w:p w14:paraId="17DFFCC9" w14:textId="77777777" w:rsidR="00CE44AE" w:rsidRDefault="00046FEA">
      <w:pPr>
        <w:numPr>
          <w:ilvl w:val="0"/>
          <w:numId w:val="3"/>
        </w:numPr>
        <w:ind w:left="720"/>
        <w:jc w:val="both"/>
        <w:rPr>
          <w:rFonts w:ascii="Arial" w:eastAsia="Arial" w:hAnsi="Arial" w:cs="Arial"/>
          <w:sz w:val="22"/>
          <w:szCs w:val="22"/>
        </w:rPr>
      </w:pPr>
      <w:r>
        <w:rPr>
          <w:rFonts w:ascii="Arial" w:eastAsia="Arial" w:hAnsi="Arial" w:cs="Arial"/>
          <w:sz w:val="22"/>
          <w:szCs w:val="22"/>
        </w:rPr>
        <w:t>Finalmente, la DEAEE seguirá con el estudi</w:t>
      </w:r>
      <w:r>
        <w:rPr>
          <w:rFonts w:ascii="Arial" w:eastAsia="Arial" w:hAnsi="Arial" w:cs="Arial"/>
          <w:sz w:val="22"/>
          <w:szCs w:val="22"/>
        </w:rPr>
        <w:t xml:space="preserve">o de los </w:t>
      </w:r>
      <w:r>
        <w:rPr>
          <w:rFonts w:ascii="Arial" w:eastAsia="Arial" w:hAnsi="Arial" w:cs="Arial"/>
          <w:b/>
          <w:sz w:val="22"/>
          <w:szCs w:val="22"/>
        </w:rPr>
        <w:t>lineamientos de evaluación</w:t>
      </w:r>
      <w:r>
        <w:rPr>
          <w:rFonts w:ascii="Arial" w:eastAsia="Arial" w:hAnsi="Arial" w:cs="Arial"/>
          <w:sz w:val="22"/>
          <w:szCs w:val="22"/>
        </w:rPr>
        <w:t xml:space="preserve"> con el objetivo implementar mejoras, actualizarlos y homologarlos a la normativa aplicable en el Sistema Nacional de Transparencia y en el Sistema Nacional Anticorrupción. </w:t>
      </w:r>
    </w:p>
    <w:sectPr w:rsidR="00CE44AE">
      <w:headerReference w:type="default" r:id="rId8"/>
      <w:footerReference w:type="default" r:id="rId9"/>
      <w:pgSz w:w="12240" w:h="15840"/>
      <w:pgMar w:top="993" w:right="1021" w:bottom="992" w:left="1021" w:header="1435" w:footer="48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AB115" w14:textId="77777777" w:rsidR="00046FEA" w:rsidRDefault="00046FEA">
      <w:r>
        <w:separator/>
      </w:r>
    </w:p>
  </w:endnote>
  <w:endnote w:type="continuationSeparator" w:id="0">
    <w:p w14:paraId="1E49F74B" w14:textId="77777777" w:rsidR="00046FEA" w:rsidRDefault="00046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Sans">
    <w:altName w:val="Calibri"/>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D7B0" w14:textId="77777777" w:rsidR="00CE44AE" w:rsidRDefault="00046FEA">
    <w:pPr>
      <w:pBdr>
        <w:top w:val="nil"/>
        <w:left w:val="nil"/>
        <w:bottom w:val="nil"/>
        <w:right w:val="nil"/>
        <w:between w:val="nil"/>
      </w:pBdr>
      <w:tabs>
        <w:tab w:val="center" w:pos="4419"/>
        <w:tab w:val="right" w:pos="8818"/>
      </w:tabs>
      <w:jc w:val="right"/>
      <w:rPr>
        <w:rFonts w:ascii="Arial" w:eastAsia="Arial" w:hAnsi="Arial" w:cs="Arial"/>
        <w:color w:val="000000"/>
        <w:sz w:val="16"/>
        <w:szCs w:val="16"/>
      </w:rPr>
    </w:pPr>
    <w:proofErr w:type="gramStart"/>
    <w:r>
      <w:rPr>
        <w:rFonts w:ascii="Arial" w:eastAsia="Arial" w:hAnsi="Arial" w:cs="Arial"/>
        <w:color w:val="000000"/>
        <w:sz w:val="16"/>
        <w:szCs w:val="16"/>
      </w:rPr>
      <w:t>DEAEE  2020.12.</w:t>
    </w:r>
    <w:r>
      <w:rPr>
        <w:rFonts w:ascii="Arial" w:eastAsia="Arial" w:hAnsi="Arial" w:cs="Arial"/>
        <w:sz w:val="16"/>
        <w:szCs w:val="16"/>
      </w:rPr>
      <w:t>15</w:t>
    </w:r>
    <w:proofErr w:type="gramEnd"/>
  </w:p>
  <w:p w14:paraId="32FF4E2F" w14:textId="77777777" w:rsidR="00CE44AE" w:rsidRDefault="00046FEA">
    <w:pPr>
      <w:pBdr>
        <w:top w:val="nil"/>
        <w:left w:val="nil"/>
        <w:bottom w:val="nil"/>
        <w:right w:val="nil"/>
        <w:between w:val="nil"/>
      </w:pBdr>
      <w:tabs>
        <w:tab w:val="center" w:pos="4419"/>
        <w:tab w:val="right" w:pos="8818"/>
      </w:tabs>
      <w:jc w:val="center"/>
      <w:rPr>
        <w:color w:val="000000"/>
        <w:sz w:val="16"/>
        <w:szCs w:val="16"/>
      </w:rPr>
    </w:pPr>
    <w:r>
      <w:rPr>
        <w:smallCaps/>
        <w:color w:val="5B9BD5"/>
        <w:sz w:val="16"/>
        <w:szCs w:val="16"/>
      </w:rPr>
      <w:fldChar w:fldCharType="begin"/>
    </w:r>
    <w:r>
      <w:rPr>
        <w:smallCaps/>
        <w:color w:val="5B9BD5"/>
        <w:sz w:val="16"/>
        <w:szCs w:val="16"/>
      </w:rPr>
      <w:instrText>PAGE</w:instrText>
    </w:r>
    <w:r w:rsidR="0048363B">
      <w:rPr>
        <w:smallCaps/>
        <w:color w:val="5B9BD5"/>
        <w:sz w:val="16"/>
        <w:szCs w:val="16"/>
      </w:rPr>
      <w:fldChar w:fldCharType="separate"/>
    </w:r>
    <w:r w:rsidR="0048363B">
      <w:rPr>
        <w:smallCaps/>
        <w:noProof/>
        <w:color w:val="5B9BD5"/>
        <w:sz w:val="16"/>
        <w:szCs w:val="16"/>
      </w:rPr>
      <w:t>1</w:t>
    </w:r>
    <w:r>
      <w:rPr>
        <w:smallCaps/>
        <w:color w:val="5B9BD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EB454" w14:textId="77777777" w:rsidR="00046FEA" w:rsidRDefault="00046FEA">
      <w:r>
        <w:separator/>
      </w:r>
    </w:p>
  </w:footnote>
  <w:footnote w:type="continuationSeparator" w:id="0">
    <w:p w14:paraId="77647DE7" w14:textId="77777777" w:rsidR="00046FEA" w:rsidRDefault="00046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933AC" w14:textId="77777777" w:rsidR="00CE44AE" w:rsidRDefault="00046FEA">
    <w:pPr>
      <w:pBdr>
        <w:top w:val="nil"/>
        <w:left w:val="nil"/>
        <w:bottom w:val="nil"/>
        <w:right w:val="nil"/>
        <w:between w:val="nil"/>
      </w:pBdr>
      <w:tabs>
        <w:tab w:val="center" w:pos="4419"/>
        <w:tab w:val="right" w:pos="8838"/>
      </w:tabs>
      <w:rPr>
        <w:color w:val="000000"/>
        <w:sz w:val="6"/>
        <w:szCs w:val="6"/>
      </w:rPr>
    </w:pPr>
    <w:r>
      <w:rPr>
        <w:noProof/>
        <w:sz w:val="6"/>
        <w:szCs w:val="6"/>
      </w:rPr>
      <w:drawing>
        <wp:anchor distT="0" distB="0" distL="0" distR="0" simplePos="0" relativeHeight="251658240" behindDoc="0" locked="0" layoutInCell="1" hidden="0" allowOverlap="1" wp14:anchorId="612EC9A4" wp14:editId="5AFA8DB1">
          <wp:simplePos x="0" y="0"/>
          <wp:positionH relativeFrom="page">
            <wp:posOffset>0</wp:posOffset>
          </wp:positionH>
          <wp:positionV relativeFrom="page">
            <wp:posOffset>0</wp:posOffset>
          </wp:positionV>
          <wp:extent cx="7796213" cy="923996"/>
          <wp:effectExtent l="0" t="0" r="0" b="0"/>
          <wp:wrapTopAndBottom distT="0" dist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96213" cy="92399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E55C5"/>
    <w:multiLevelType w:val="multilevel"/>
    <w:tmpl w:val="63DAF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E595770"/>
    <w:multiLevelType w:val="multilevel"/>
    <w:tmpl w:val="787822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D4314C"/>
    <w:multiLevelType w:val="multilevel"/>
    <w:tmpl w:val="00621C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4AE"/>
    <w:rsid w:val="00046FEA"/>
    <w:rsid w:val="0048363B"/>
    <w:rsid w:val="00CE4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4F216"/>
  <w15:docId w15:val="{0F2D8CA8-923D-45EF-B092-5C01C969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s-E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uiPriority w:val="34"/>
    <w:qFormat/>
    <w:rsid w:val="00FE012B"/>
    <w:pPr>
      <w:ind w:left="720"/>
      <w:contextualSpacing/>
    </w:pPr>
  </w:style>
  <w:style w:type="paragraph" w:styleId="Encabezado">
    <w:name w:val="header"/>
    <w:basedOn w:val="Normal"/>
    <w:link w:val="EncabezadoCar"/>
    <w:uiPriority w:val="99"/>
    <w:unhideWhenUsed/>
    <w:rsid w:val="00FE012B"/>
    <w:pPr>
      <w:tabs>
        <w:tab w:val="center" w:pos="4419"/>
        <w:tab w:val="right" w:pos="8838"/>
      </w:tabs>
    </w:pPr>
  </w:style>
  <w:style w:type="character" w:customStyle="1" w:styleId="EncabezadoCar">
    <w:name w:val="Encabezado Car"/>
    <w:basedOn w:val="Fuentedeprrafopredeter"/>
    <w:link w:val="Encabezado"/>
    <w:uiPriority w:val="99"/>
    <w:rsid w:val="00FE012B"/>
    <w:rPr>
      <w:lang w:val="es-ES"/>
    </w:rPr>
  </w:style>
  <w:style w:type="paragraph" w:styleId="Piedepgina">
    <w:name w:val="footer"/>
    <w:basedOn w:val="Normal"/>
    <w:link w:val="PiedepginaCar"/>
    <w:uiPriority w:val="99"/>
    <w:unhideWhenUsed/>
    <w:rsid w:val="00FE012B"/>
    <w:pPr>
      <w:tabs>
        <w:tab w:val="center" w:pos="4419"/>
        <w:tab w:val="right" w:pos="8838"/>
      </w:tabs>
    </w:pPr>
  </w:style>
  <w:style w:type="character" w:customStyle="1" w:styleId="PiedepginaCar">
    <w:name w:val="Pie de página Car"/>
    <w:basedOn w:val="Fuentedeprrafopredeter"/>
    <w:link w:val="Piedepgina"/>
    <w:uiPriority w:val="99"/>
    <w:rsid w:val="00FE012B"/>
    <w:rPr>
      <w:lang w:val="es-ES"/>
    </w:rPr>
  </w:style>
  <w:style w:type="character" w:styleId="Hipervnculo">
    <w:name w:val="Hyperlink"/>
    <w:basedOn w:val="Fuentedeprrafopredeter"/>
    <w:uiPriority w:val="99"/>
    <w:unhideWhenUsed/>
    <w:rsid w:val="004B1B33"/>
    <w:rPr>
      <w:color w:val="0000FF"/>
      <w:u w:val="single"/>
    </w:rPr>
  </w:style>
  <w:style w:type="character" w:styleId="Mencinsinresolver">
    <w:name w:val="Unresolved Mention"/>
    <w:basedOn w:val="Fuentedeprrafopredeter"/>
    <w:uiPriority w:val="99"/>
    <w:semiHidden/>
    <w:unhideWhenUsed/>
    <w:rsid w:val="004B1B33"/>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AF6788"/>
    <w:rPr>
      <w:color w:val="954F72" w:themeColor="followedHyperlink"/>
      <w:u w:val="single"/>
    </w:rPr>
  </w:style>
  <w:style w:type="paragraph" w:styleId="Textodeglobo">
    <w:name w:val="Balloon Text"/>
    <w:basedOn w:val="Normal"/>
    <w:link w:val="TextodegloboCar"/>
    <w:uiPriority w:val="99"/>
    <w:semiHidden/>
    <w:unhideWhenUsed/>
    <w:rsid w:val="00AF67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6788"/>
    <w:rPr>
      <w:rFonts w:ascii="Segoe UI" w:hAnsi="Segoe UI" w:cs="Segoe UI"/>
      <w:sz w:val="18"/>
      <w:szCs w:val="18"/>
    </w:rPr>
  </w:style>
  <w:style w:type="paragraph" w:customStyle="1" w:styleId="paragraph">
    <w:name w:val="paragraph"/>
    <w:basedOn w:val="Normal"/>
    <w:rsid w:val="007174DC"/>
    <w:pPr>
      <w:spacing w:before="100" w:beforeAutospacing="1" w:after="100" w:afterAutospacing="1"/>
    </w:pPr>
    <w:rPr>
      <w:rFonts w:ascii="Times New Roman" w:eastAsia="Times New Roman" w:hAnsi="Times New Roman" w:cs="Times New Roman"/>
      <w:lang w:val="es-MX"/>
    </w:rPr>
  </w:style>
  <w:style w:type="character" w:customStyle="1" w:styleId="normaltextrun">
    <w:name w:val="normaltextrun"/>
    <w:basedOn w:val="Fuentedeprrafopredeter"/>
    <w:rsid w:val="007174DC"/>
  </w:style>
  <w:style w:type="character" w:customStyle="1" w:styleId="eop">
    <w:name w:val="eop"/>
    <w:basedOn w:val="Fuentedeprrafopredeter"/>
    <w:rsid w:val="0071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LRzCg0lpBUUAupZiaUn6xpDsQ==">AMUW2mXipbFfEEyt+LNxG+PTuWR5HmY4ExOLHXdBiDI0qC1HvouFvQJjRJileHA1onq0KMRt9/JS3cdIWaCumQxTsmM9apE/PIdZMUz4PQb2yffaJY3E18Q=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1090</Words>
  <Characters>5998</Characters>
  <Application>Microsoft Office Word</Application>
  <DocSecurity>0</DocSecurity>
  <Lines>49</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Quintana</dc:creator>
  <cp:lastModifiedBy>Sonia Quintana Martínez</cp:lastModifiedBy>
  <cp:revision>2</cp:revision>
  <dcterms:created xsi:type="dcterms:W3CDTF">2020-12-15T18:39:00Z</dcterms:created>
  <dcterms:modified xsi:type="dcterms:W3CDTF">2020-12-15T18:39:00Z</dcterms:modified>
</cp:coreProperties>
</file>